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68C" w:rsidRPr="0020009C" w:rsidRDefault="004A168C" w:rsidP="00E62B1C">
      <w:pPr>
        <w:rPr>
          <w:rFonts w:ascii="Calibri" w:hAnsi="Calibri" w:cs="Calibri"/>
        </w:rPr>
      </w:pPr>
    </w:p>
    <w:tbl>
      <w:tblPr>
        <w:tblW w:w="9640" w:type="dxa"/>
        <w:jc w:val="cente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1949"/>
        <w:gridCol w:w="1244"/>
        <w:gridCol w:w="749"/>
        <w:gridCol w:w="2771"/>
        <w:gridCol w:w="2927"/>
        <w:tblGridChange w:id="0">
          <w:tblGrid>
            <w:gridCol w:w="1949"/>
            <w:gridCol w:w="1244"/>
            <w:gridCol w:w="749"/>
            <w:gridCol w:w="2771"/>
            <w:gridCol w:w="2927"/>
          </w:tblGrid>
        </w:tblGridChange>
      </w:tblGrid>
      <w:tr w:rsidR="00E62B1C" w:rsidRPr="0020009C" w:rsidTr="00A00CBC">
        <w:trPr>
          <w:trHeight w:val="510"/>
          <w:tblCellSpacing w:w="20" w:type="dxa"/>
          <w:jc w:val="center"/>
        </w:trPr>
        <w:tc>
          <w:tcPr>
            <w:tcW w:w="4959" w:type="pct"/>
            <w:gridSpan w:val="5"/>
            <w:shd w:val="clear" w:color="auto" w:fill="365F91"/>
            <w:noWrap/>
            <w:vAlign w:val="center"/>
            <w:hideMark/>
          </w:tcPr>
          <w:p w:rsidR="00E62B1C" w:rsidRPr="0020009C" w:rsidRDefault="00E62B1C" w:rsidP="0020009C">
            <w:pPr>
              <w:jc w:val="center"/>
              <w:rPr>
                <w:rFonts w:ascii="Calibri" w:hAnsi="Calibri" w:cs="Calibri"/>
                <w:b/>
                <w:bCs/>
                <w:color w:val="FFFFFF"/>
                <w:lang w:val="es-EC"/>
              </w:rPr>
            </w:pPr>
            <w:r w:rsidRPr="0020009C">
              <w:rPr>
                <w:rFonts w:ascii="Calibri" w:hAnsi="Calibri" w:cs="Calibri"/>
              </w:rPr>
              <w:br w:type="page"/>
            </w:r>
            <w:r w:rsidRPr="0020009C">
              <w:rPr>
                <w:rFonts w:ascii="Calibri" w:hAnsi="Calibri" w:cs="Calibri"/>
                <w:b/>
                <w:bCs/>
                <w:color w:val="FFFFFF"/>
                <w:lang w:val="es-EC"/>
              </w:rPr>
              <w:t>FICHA METODOLÓGICA</w:t>
            </w:r>
          </w:p>
        </w:tc>
      </w:tr>
      <w:tr w:rsidR="00B30908" w:rsidRPr="0020009C" w:rsidTr="00296D03">
        <w:trPr>
          <w:trHeight w:val="340"/>
          <w:tblCellSpacing w:w="20" w:type="dxa"/>
          <w:jc w:val="center"/>
        </w:trPr>
        <w:tc>
          <w:tcPr>
            <w:tcW w:w="1619" w:type="pct"/>
            <w:gridSpan w:val="2"/>
            <w:shd w:val="clear" w:color="auto" w:fill="C6D9F1"/>
            <w:vAlign w:val="center"/>
            <w:hideMark/>
          </w:tcPr>
          <w:p w:rsidR="00B30908" w:rsidRPr="0020009C" w:rsidRDefault="00B30908" w:rsidP="00B30908">
            <w:pPr>
              <w:rPr>
                <w:rFonts w:ascii="Calibri" w:hAnsi="Calibri" w:cs="Calibri"/>
                <w:b/>
                <w:bCs/>
                <w:lang w:val="es-EC"/>
              </w:rPr>
            </w:pPr>
            <w:r w:rsidRPr="0020009C">
              <w:rPr>
                <w:rFonts w:ascii="Calibri" w:hAnsi="Calibri" w:cs="Calibri"/>
                <w:b/>
                <w:bCs/>
                <w:lang w:val="es-EC"/>
              </w:rPr>
              <w:t>NOMBRE DEL INDICADOR</w:t>
            </w:r>
          </w:p>
        </w:tc>
        <w:tc>
          <w:tcPr>
            <w:tcW w:w="3319" w:type="pct"/>
            <w:gridSpan w:val="3"/>
            <w:shd w:val="clear" w:color="auto" w:fill="auto"/>
            <w:vAlign w:val="center"/>
          </w:tcPr>
          <w:p w:rsidR="00B30908" w:rsidRPr="00B30908" w:rsidRDefault="00B30908" w:rsidP="00B30908">
            <w:pPr>
              <w:spacing w:before="100" w:beforeAutospacing="1" w:after="100" w:afterAutospacing="1"/>
              <w:jc w:val="both"/>
              <w:outlineLvl w:val="0"/>
              <w:rPr>
                <w:rFonts w:cstheme="minorHAnsi"/>
                <w:bCs/>
                <w:kern w:val="36"/>
                <w:szCs w:val="20"/>
              </w:rPr>
            </w:pPr>
            <w:r w:rsidRPr="00B30908">
              <w:rPr>
                <w:rFonts w:cstheme="minorHAnsi"/>
                <w:b/>
                <w:color w:val="000000"/>
              </w:rPr>
              <w:t>Proporción de hogares que clasifican sus desechos orgánicos e inorgánicos.</w:t>
            </w:r>
          </w:p>
        </w:tc>
      </w:tr>
      <w:tr w:rsidR="00B30908" w:rsidRPr="0020009C" w:rsidTr="00296D03">
        <w:trPr>
          <w:trHeight w:val="340"/>
          <w:tblCellSpacing w:w="20" w:type="dxa"/>
          <w:jc w:val="center"/>
        </w:trPr>
        <w:tc>
          <w:tcPr>
            <w:tcW w:w="1619" w:type="pct"/>
            <w:gridSpan w:val="2"/>
            <w:shd w:val="clear" w:color="auto" w:fill="C6D9F1"/>
            <w:vAlign w:val="center"/>
            <w:hideMark/>
          </w:tcPr>
          <w:p w:rsidR="00B30908" w:rsidRPr="0020009C" w:rsidRDefault="00B30908" w:rsidP="00B30908">
            <w:pPr>
              <w:rPr>
                <w:rFonts w:ascii="Calibri" w:hAnsi="Calibri" w:cs="Calibri"/>
                <w:b/>
                <w:bCs/>
                <w:lang w:val="es-EC"/>
              </w:rPr>
            </w:pPr>
            <w:r w:rsidRPr="0020009C">
              <w:rPr>
                <w:rFonts w:ascii="Calibri" w:hAnsi="Calibri" w:cs="Calibri"/>
                <w:b/>
                <w:bCs/>
                <w:lang w:val="es-EC"/>
              </w:rPr>
              <w:t>DEFINICIÓN</w:t>
            </w:r>
          </w:p>
        </w:tc>
        <w:tc>
          <w:tcPr>
            <w:tcW w:w="3319" w:type="pct"/>
            <w:gridSpan w:val="3"/>
            <w:shd w:val="clear" w:color="auto" w:fill="auto"/>
            <w:vAlign w:val="center"/>
          </w:tcPr>
          <w:p w:rsidR="00B30908" w:rsidRPr="00B30908" w:rsidRDefault="00B30908" w:rsidP="00296D03">
            <w:pPr>
              <w:rPr>
                <w:color w:val="000000"/>
              </w:rPr>
            </w:pPr>
            <w:r w:rsidRPr="00B30908">
              <w:t>Expresa la proporción que representan los hogares (respuesta dada por el considerado jefe de hogar) que clasificaron sus desechos orgánicos e inorgánicos en relación al total de hogares investigados en un tiempo t determinado.</w:t>
            </w:r>
          </w:p>
        </w:tc>
      </w:tr>
      <w:tr w:rsidR="00B30908" w:rsidRPr="0020009C" w:rsidTr="00A00CBC">
        <w:trPr>
          <w:trHeight w:val="340"/>
          <w:tblCellSpacing w:w="20" w:type="dxa"/>
          <w:jc w:val="center"/>
        </w:trPr>
        <w:tc>
          <w:tcPr>
            <w:tcW w:w="4959" w:type="pct"/>
            <w:gridSpan w:val="5"/>
            <w:shd w:val="clear" w:color="auto" w:fill="C6D9F1"/>
            <w:vAlign w:val="center"/>
            <w:hideMark/>
          </w:tcPr>
          <w:p w:rsidR="00B30908" w:rsidRPr="0020009C" w:rsidRDefault="00B30908" w:rsidP="00B30908">
            <w:pPr>
              <w:jc w:val="center"/>
              <w:rPr>
                <w:rFonts w:ascii="Calibri" w:hAnsi="Calibri" w:cs="Calibri"/>
                <w:b/>
                <w:bCs/>
                <w:lang w:val="es-EC"/>
              </w:rPr>
            </w:pPr>
            <w:r w:rsidRPr="0020009C">
              <w:rPr>
                <w:rFonts w:ascii="Calibri" w:hAnsi="Calibri" w:cs="Calibri"/>
                <w:b/>
                <w:bCs/>
                <w:lang w:val="es-EC"/>
              </w:rPr>
              <w:t>FÓRMULA DE CÁLCULO</w:t>
            </w:r>
          </w:p>
        </w:tc>
      </w:tr>
      <w:tr w:rsidR="00B30908" w:rsidRPr="0020009C" w:rsidTr="00A00CBC">
        <w:trPr>
          <w:trHeight w:val="360"/>
          <w:tblCellSpacing w:w="20" w:type="dxa"/>
          <w:jc w:val="center"/>
        </w:trPr>
        <w:tc>
          <w:tcPr>
            <w:tcW w:w="4959" w:type="pct"/>
            <w:gridSpan w:val="5"/>
            <w:shd w:val="clear" w:color="auto" w:fill="auto"/>
          </w:tcPr>
          <w:p w:rsidR="00B30908" w:rsidRDefault="00B30908" w:rsidP="00B30908">
            <w:pPr>
              <w:jc w:val="center"/>
              <w:rPr>
                <w:sz w:val="20"/>
              </w:rPr>
            </w:pPr>
          </w:p>
          <w:bookmarkStart w:id="1" w:name="_GoBack"/>
          <w:p w:rsidR="00B30908" w:rsidRPr="00296D03" w:rsidRDefault="00296D03" w:rsidP="00B30908">
            <w:pPr>
              <w:jc w:val="center"/>
              <w:rPr>
                <w:sz w:val="20"/>
              </w:rPr>
            </w:pPr>
            <m:oMathPara>
              <m:oMath>
                <m:sSub>
                  <m:sSubPr>
                    <m:ctrlPr>
                      <w:rPr>
                        <w:rFonts w:ascii="Cambria Math" w:hAnsi="Cambria Math"/>
                        <w:b/>
                        <w:i/>
                        <w:color w:val="000000"/>
                      </w:rPr>
                    </m:ctrlPr>
                  </m:sSubPr>
                  <m:e>
                    <m:r>
                      <m:rPr>
                        <m:sty m:val="bi"/>
                      </m:rPr>
                      <w:rPr>
                        <w:rFonts w:ascii="Cambria Math" w:hAnsi="Cambria Math"/>
                        <w:color w:val="000000"/>
                      </w:rPr>
                      <m:t>PHCO</m:t>
                    </m:r>
                  </m:e>
                  <m:sub>
                    <m:r>
                      <m:rPr>
                        <m:sty m:val="bi"/>
                      </m:rPr>
                      <w:rPr>
                        <w:rFonts w:ascii="Cambria Math" w:hAnsi="Cambria Math"/>
                        <w:color w:val="000000"/>
                      </w:rPr>
                      <m:t>t</m:t>
                    </m:r>
                  </m:sub>
                </m:sSub>
                <m:r>
                  <m:rPr>
                    <m:sty m:val="bi"/>
                  </m:rPr>
                  <w:rPr>
                    <w:rFonts w:ascii="Cambria Math" w:hAnsi="Cambria Math"/>
                    <w:color w:val="000000"/>
                  </w:rPr>
                  <m:t xml:space="preserve">= </m:t>
                </m:r>
                <m:nary>
                  <m:naryPr>
                    <m:chr m:val="∑"/>
                    <m:limLoc m:val="undOvr"/>
                    <m:subHide m:val="1"/>
                    <m:supHide m:val="1"/>
                    <m:ctrlPr>
                      <w:rPr>
                        <w:rFonts w:ascii="Cambria Math" w:hAnsi="Cambria Math"/>
                        <w:b/>
                        <w:i/>
                        <w:color w:val="000000"/>
                      </w:rPr>
                    </m:ctrlPr>
                  </m:naryPr>
                  <m:sub/>
                  <m:sup/>
                  <m:e>
                    <m:f>
                      <m:fPr>
                        <m:ctrlPr>
                          <w:rPr>
                            <w:rFonts w:ascii="Cambria Math" w:hAnsi="Cambria Math"/>
                            <w:b/>
                            <w:i/>
                            <w:color w:val="000000"/>
                          </w:rPr>
                        </m:ctrlPr>
                      </m:fPr>
                      <m:num>
                        <m:r>
                          <m:rPr>
                            <m:sty m:val="bi"/>
                          </m:rPr>
                          <w:rPr>
                            <w:rFonts w:ascii="Cambria Math" w:hAnsi="Cambria Math"/>
                            <w:color w:val="000000"/>
                          </w:rPr>
                          <m:t>HCO</m:t>
                        </m:r>
                      </m:num>
                      <m:den>
                        <m:r>
                          <m:rPr>
                            <m:sty m:val="bi"/>
                          </m:rPr>
                          <w:rPr>
                            <w:rFonts w:ascii="Cambria Math" w:hAnsi="Cambria Math"/>
                            <w:color w:val="000000"/>
                          </w:rPr>
                          <m:t>TH</m:t>
                        </m:r>
                      </m:den>
                    </m:f>
                  </m:e>
                </m:nary>
                <m:r>
                  <m:rPr>
                    <m:sty m:val="bi"/>
                  </m:rPr>
                  <w:rPr>
                    <w:rFonts w:ascii="Cambria Math" w:hAnsi="Cambria Math"/>
                    <w:color w:val="000000"/>
                  </w:rPr>
                  <m:t xml:space="preserve"> X 100</m:t>
                </m:r>
              </m:oMath>
            </m:oMathPara>
          </w:p>
          <w:p w:rsidR="00B30908" w:rsidRPr="00B30908" w:rsidRDefault="00B30908" w:rsidP="00B30908">
            <w:pPr>
              <w:jc w:val="center"/>
              <w:rPr>
                <w:rFonts w:ascii="Arial" w:hAnsi="Arial"/>
                <w:b/>
                <w:bCs/>
                <w:sz w:val="16"/>
                <w:szCs w:val="20"/>
              </w:rPr>
            </w:pPr>
          </w:p>
          <w:p w:rsidR="00B30908" w:rsidRPr="00B30908" w:rsidRDefault="00B30908" w:rsidP="00B30908">
            <w:pPr>
              <w:ind w:right="49"/>
              <w:jc w:val="both"/>
              <w:rPr>
                <w:rFonts w:ascii="Arial" w:hAnsi="Arial"/>
                <w:b/>
                <w:sz w:val="16"/>
                <w:szCs w:val="20"/>
                <w:lang w:val="es-MX"/>
              </w:rPr>
            </w:pPr>
          </w:p>
          <w:bookmarkEnd w:id="1"/>
          <w:p w:rsidR="00B30908" w:rsidRPr="00296D03" w:rsidRDefault="00296D03" w:rsidP="00B30908">
            <w:pPr>
              <w:ind w:right="49"/>
              <w:jc w:val="center"/>
              <w:rPr>
                <w:rFonts w:ascii="Arial" w:hAnsi="Arial"/>
                <w:b/>
                <w:sz w:val="20"/>
                <w:szCs w:val="20"/>
                <w:lang w:val="es-MX"/>
              </w:rPr>
            </w:pPr>
            <m:oMathPara>
              <m:oMath>
                <m:sSub>
                  <m:sSubPr>
                    <m:ctrlPr>
                      <w:rPr>
                        <w:rFonts w:ascii="Cambria Math" w:hAnsi="Cambria Math"/>
                        <w:b/>
                        <w:i/>
                        <w:color w:val="000000"/>
                      </w:rPr>
                    </m:ctrlPr>
                  </m:sSubPr>
                  <m:e>
                    <m:r>
                      <m:rPr>
                        <m:sty m:val="bi"/>
                      </m:rPr>
                      <w:rPr>
                        <w:rFonts w:ascii="Cambria Math" w:hAnsi="Cambria Math"/>
                        <w:color w:val="000000"/>
                      </w:rPr>
                      <m:t>PHCI</m:t>
                    </m:r>
                  </m:e>
                  <m:sub>
                    <m:r>
                      <m:rPr>
                        <m:sty m:val="bi"/>
                      </m:rPr>
                      <w:rPr>
                        <w:rFonts w:ascii="Cambria Math" w:hAnsi="Cambria Math"/>
                        <w:color w:val="000000"/>
                      </w:rPr>
                      <m:t>t</m:t>
                    </m:r>
                  </m:sub>
                </m:sSub>
                <m:r>
                  <m:rPr>
                    <m:sty m:val="bi"/>
                  </m:rPr>
                  <w:rPr>
                    <w:rFonts w:ascii="Cambria Math" w:hAnsi="Cambria Math"/>
                    <w:color w:val="000000"/>
                  </w:rPr>
                  <m:t xml:space="preserve">= </m:t>
                </m:r>
                <m:nary>
                  <m:naryPr>
                    <m:chr m:val="∑"/>
                    <m:limLoc m:val="undOvr"/>
                    <m:subHide m:val="1"/>
                    <m:supHide m:val="1"/>
                    <m:ctrlPr>
                      <w:rPr>
                        <w:rFonts w:ascii="Cambria Math" w:hAnsi="Cambria Math"/>
                        <w:b/>
                        <w:i/>
                        <w:color w:val="000000"/>
                      </w:rPr>
                    </m:ctrlPr>
                  </m:naryPr>
                  <m:sub/>
                  <m:sup/>
                  <m:e>
                    <m:f>
                      <m:fPr>
                        <m:ctrlPr>
                          <w:rPr>
                            <w:rFonts w:ascii="Cambria Math" w:hAnsi="Cambria Math"/>
                            <w:b/>
                            <w:i/>
                            <w:color w:val="000000"/>
                          </w:rPr>
                        </m:ctrlPr>
                      </m:fPr>
                      <m:num>
                        <m:r>
                          <m:rPr>
                            <m:sty m:val="bi"/>
                          </m:rPr>
                          <w:rPr>
                            <w:rFonts w:ascii="Cambria Math" w:hAnsi="Cambria Math"/>
                            <w:color w:val="000000"/>
                          </w:rPr>
                          <m:t>HCI</m:t>
                        </m:r>
                      </m:num>
                      <m:den>
                        <m:r>
                          <m:rPr>
                            <m:sty m:val="bi"/>
                          </m:rPr>
                          <w:rPr>
                            <w:rFonts w:ascii="Cambria Math" w:hAnsi="Cambria Math"/>
                            <w:color w:val="000000"/>
                          </w:rPr>
                          <m:t>TH</m:t>
                        </m:r>
                      </m:den>
                    </m:f>
                  </m:e>
                </m:nary>
                <m:r>
                  <m:rPr>
                    <m:sty m:val="bi"/>
                  </m:rPr>
                  <w:rPr>
                    <w:rFonts w:ascii="Cambria Math" w:hAnsi="Cambria Math"/>
                    <w:color w:val="000000"/>
                  </w:rPr>
                  <m:t xml:space="preserve"> X 100</m:t>
                </m:r>
              </m:oMath>
            </m:oMathPara>
          </w:p>
          <w:p w:rsidR="00B30908" w:rsidRPr="00B30908" w:rsidRDefault="00B30908" w:rsidP="00B30908">
            <w:pPr>
              <w:ind w:right="49"/>
              <w:jc w:val="both"/>
              <w:rPr>
                <w:rFonts w:cstheme="minorHAnsi"/>
                <w:b/>
                <w:i/>
                <w:sz w:val="20"/>
                <w:szCs w:val="20"/>
                <w:lang w:val="es-MX"/>
              </w:rPr>
            </w:pPr>
            <w:r w:rsidRPr="00B30908">
              <w:rPr>
                <w:rFonts w:cstheme="minorHAnsi"/>
                <w:b/>
                <w:i/>
                <w:sz w:val="20"/>
                <w:szCs w:val="20"/>
                <w:lang w:val="es-MX"/>
              </w:rPr>
              <w:t>Donde:</w:t>
            </w:r>
          </w:p>
          <w:tbl>
            <w:tblPr>
              <w:tblStyle w:val="Tablaconcuadrcula"/>
              <w:tblW w:w="6944" w:type="dxa"/>
              <w:jc w:val="center"/>
              <w:tblCellSpacing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
              <w:gridCol w:w="5947"/>
            </w:tblGrid>
            <w:tr w:rsidR="00B30908" w:rsidRPr="00BB3D89" w:rsidTr="00B30908">
              <w:trPr>
                <w:tblCellSpacing w:w="20" w:type="dxa"/>
                <w:jc w:val="center"/>
              </w:trPr>
              <w:tc>
                <w:tcPr>
                  <w:tcW w:w="937" w:type="dxa"/>
                </w:tcPr>
                <w:p w:rsidR="00B30908" w:rsidRPr="00B30908" w:rsidRDefault="00B30908" w:rsidP="00B30908">
                  <w:pPr>
                    <w:ind w:right="49"/>
                    <w:jc w:val="both"/>
                    <w:rPr>
                      <w:rFonts w:cstheme="minorHAnsi"/>
                      <w:b/>
                      <w:lang w:val="es-MX"/>
                    </w:rPr>
                  </w:pPr>
                  <w:r w:rsidRPr="00B30908">
                    <w:rPr>
                      <w:rFonts w:cstheme="minorHAnsi"/>
                      <w:b/>
                      <w:color w:val="000000"/>
                    </w:rPr>
                    <w:t>PHCO:</w:t>
                  </w:r>
                </w:p>
              </w:tc>
              <w:tc>
                <w:tcPr>
                  <w:tcW w:w="5887" w:type="dxa"/>
                </w:tcPr>
                <w:p w:rsidR="00B30908" w:rsidRPr="00B30908" w:rsidRDefault="00B30908" w:rsidP="00B30908">
                  <w:pPr>
                    <w:autoSpaceDE w:val="0"/>
                    <w:autoSpaceDN w:val="0"/>
                    <w:adjustRightInd w:val="0"/>
                    <w:jc w:val="both"/>
                    <w:rPr>
                      <w:rFonts w:cstheme="minorHAnsi"/>
                      <w:lang w:val="es-MX"/>
                    </w:rPr>
                  </w:pPr>
                  <w:r w:rsidRPr="00B30908">
                    <w:rPr>
                      <w:rFonts w:cstheme="minorHAnsi"/>
                    </w:rPr>
                    <w:t>Proporción de hogares que clasifican sus desechos orgánicos</w:t>
                  </w:r>
                </w:p>
              </w:tc>
            </w:tr>
            <w:tr w:rsidR="00B30908" w:rsidRPr="00BB3D89" w:rsidTr="00B30908">
              <w:trPr>
                <w:trHeight w:val="123"/>
                <w:tblCellSpacing w:w="20" w:type="dxa"/>
                <w:jc w:val="center"/>
              </w:trPr>
              <w:tc>
                <w:tcPr>
                  <w:tcW w:w="937" w:type="dxa"/>
                </w:tcPr>
                <w:p w:rsidR="00B30908" w:rsidRPr="00B30908" w:rsidRDefault="00B30908" w:rsidP="00B30908">
                  <w:pPr>
                    <w:ind w:right="49"/>
                    <w:jc w:val="both"/>
                    <w:rPr>
                      <w:rFonts w:cstheme="minorHAnsi"/>
                      <w:b/>
                      <w:lang w:val="es-MX"/>
                    </w:rPr>
                  </w:pPr>
                  <w:r w:rsidRPr="00B30908">
                    <w:rPr>
                      <w:rFonts w:cstheme="minorHAnsi"/>
                      <w:b/>
                      <w:color w:val="000000"/>
                    </w:rPr>
                    <w:t>PHCI:</w:t>
                  </w:r>
                </w:p>
              </w:tc>
              <w:tc>
                <w:tcPr>
                  <w:tcW w:w="5887" w:type="dxa"/>
                </w:tcPr>
                <w:p w:rsidR="00B30908" w:rsidRPr="00B30908" w:rsidRDefault="00B30908" w:rsidP="00B30908">
                  <w:pPr>
                    <w:autoSpaceDE w:val="0"/>
                    <w:autoSpaceDN w:val="0"/>
                    <w:adjustRightInd w:val="0"/>
                    <w:jc w:val="both"/>
                    <w:rPr>
                      <w:rFonts w:cstheme="minorHAnsi"/>
                      <w:lang w:val="es-MX"/>
                    </w:rPr>
                  </w:pPr>
                  <w:r w:rsidRPr="00B30908">
                    <w:rPr>
                      <w:rFonts w:cstheme="minorHAnsi"/>
                    </w:rPr>
                    <w:t>Proporción de hogares que clasifican sus desechos inorgánicos</w:t>
                  </w:r>
                </w:p>
              </w:tc>
            </w:tr>
            <w:tr w:rsidR="00B30908" w:rsidRPr="00BB3D89" w:rsidTr="00B30908">
              <w:trPr>
                <w:trHeight w:val="123"/>
                <w:tblCellSpacing w:w="20" w:type="dxa"/>
                <w:jc w:val="center"/>
              </w:trPr>
              <w:tc>
                <w:tcPr>
                  <w:tcW w:w="937" w:type="dxa"/>
                </w:tcPr>
                <w:p w:rsidR="00B30908" w:rsidRPr="00B30908" w:rsidRDefault="00B30908" w:rsidP="00B30908">
                  <w:pPr>
                    <w:ind w:right="49"/>
                    <w:jc w:val="both"/>
                    <w:rPr>
                      <w:rFonts w:cstheme="minorHAnsi"/>
                      <w:b/>
                      <w:lang w:val="es-MX"/>
                    </w:rPr>
                  </w:pPr>
                  <w:r w:rsidRPr="00B30908">
                    <w:rPr>
                      <w:rFonts w:cstheme="minorHAnsi"/>
                      <w:b/>
                      <w:lang w:val="es-MX"/>
                    </w:rPr>
                    <w:t>t:</w:t>
                  </w:r>
                </w:p>
              </w:tc>
              <w:tc>
                <w:tcPr>
                  <w:tcW w:w="5887" w:type="dxa"/>
                </w:tcPr>
                <w:p w:rsidR="00B30908" w:rsidRPr="00B30908" w:rsidRDefault="00B30908" w:rsidP="00B30908">
                  <w:pPr>
                    <w:autoSpaceDE w:val="0"/>
                    <w:autoSpaceDN w:val="0"/>
                    <w:adjustRightInd w:val="0"/>
                    <w:jc w:val="both"/>
                    <w:rPr>
                      <w:rFonts w:cstheme="minorHAnsi"/>
                      <w:lang w:val="es-MX"/>
                    </w:rPr>
                  </w:pPr>
                  <w:r w:rsidRPr="00B30908">
                    <w:rPr>
                      <w:rFonts w:cstheme="minorHAnsi"/>
                      <w:lang w:val="es-MX"/>
                    </w:rPr>
                    <w:t>Periodo de tiempo determinado (anual)</w:t>
                  </w:r>
                </w:p>
              </w:tc>
            </w:tr>
            <w:tr w:rsidR="00B30908" w:rsidRPr="00BB3D89" w:rsidTr="00B30908">
              <w:trPr>
                <w:tblCellSpacing w:w="20" w:type="dxa"/>
                <w:jc w:val="center"/>
              </w:trPr>
              <w:tc>
                <w:tcPr>
                  <w:tcW w:w="937" w:type="dxa"/>
                </w:tcPr>
                <w:p w:rsidR="00B30908" w:rsidRPr="00B30908" w:rsidRDefault="00B30908" w:rsidP="00B30908">
                  <w:pPr>
                    <w:ind w:right="49"/>
                    <w:jc w:val="both"/>
                    <w:rPr>
                      <w:rFonts w:cstheme="minorHAnsi"/>
                      <w:b/>
                      <w:lang w:val="es-MX"/>
                    </w:rPr>
                  </w:pPr>
                  <w:r w:rsidRPr="00B30908">
                    <w:rPr>
                      <w:rFonts w:cstheme="minorHAnsi"/>
                      <w:b/>
                      <w:color w:val="000000"/>
                    </w:rPr>
                    <w:t>HCO</w:t>
                  </w:r>
                  <w:r w:rsidRPr="00B30908">
                    <w:rPr>
                      <w:rFonts w:cstheme="minorHAnsi"/>
                      <w:b/>
                      <w:lang w:val="es-MX"/>
                    </w:rPr>
                    <w:t>:</w:t>
                  </w:r>
                </w:p>
              </w:tc>
              <w:tc>
                <w:tcPr>
                  <w:tcW w:w="5887" w:type="dxa"/>
                </w:tcPr>
                <w:p w:rsidR="00B30908" w:rsidRPr="00B30908" w:rsidRDefault="00B30908" w:rsidP="00B30908">
                  <w:pPr>
                    <w:autoSpaceDE w:val="0"/>
                    <w:autoSpaceDN w:val="0"/>
                    <w:adjustRightInd w:val="0"/>
                    <w:jc w:val="both"/>
                    <w:rPr>
                      <w:rFonts w:cstheme="minorHAnsi"/>
                      <w:lang w:val="es-MX"/>
                    </w:rPr>
                  </w:pPr>
                  <w:r w:rsidRPr="00B30908">
                    <w:rPr>
                      <w:rFonts w:cstheme="minorHAnsi"/>
                    </w:rPr>
                    <w:t>Hogares que clasifican sus desechos orgánicos</w:t>
                  </w:r>
                </w:p>
              </w:tc>
            </w:tr>
            <w:tr w:rsidR="00B30908" w:rsidRPr="00BB3D89" w:rsidTr="00B30908">
              <w:trPr>
                <w:tblCellSpacing w:w="20" w:type="dxa"/>
                <w:jc w:val="center"/>
              </w:trPr>
              <w:tc>
                <w:tcPr>
                  <w:tcW w:w="937" w:type="dxa"/>
                </w:tcPr>
                <w:p w:rsidR="00B30908" w:rsidRPr="00B30908" w:rsidRDefault="00B30908" w:rsidP="00B30908">
                  <w:pPr>
                    <w:ind w:right="49"/>
                    <w:jc w:val="both"/>
                    <w:rPr>
                      <w:rFonts w:cstheme="minorHAnsi"/>
                      <w:b/>
                      <w:lang w:val="es-MX"/>
                    </w:rPr>
                  </w:pPr>
                  <w:r w:rsidRPr="00B30908">
                    <w:rPr>
                      <w:rFonts w:cstheme="minorHAnsi"/>
                      <w:b/>
                      <w:color w:val="000000"/>
                    </w:rPr>
                    <w:t>HCI</w:t>
                  </w:r>
                  <w:r w:rsidRPr="00B30908">
                    <w:rPr>
                      <w:rFonts w:cstheme="minorHAnsi"/>
                      <w:b/>
                      <w:lang w:val="es-MX"/>
                    </w:rPr>
                    <w:t>:</w:t>
                  </w:r>
                </w:p>
              </w:tc>
              <w:tc>
                <w:tcPr>
                  <w:tcW w:w="5887" w:type="dxa"/>
                </w:tcPr>
                <w:p w:rsidR="00B30908" w:rsidRPr="00B30908" w:rsidRDefault="00B30908" w:rsidP="00B30908">
                  <w:pPr>
                    <w:autoSpaceDE w:val="0"/>
                    <w:autoSpaceDN w:val="0"/>
                    <w:adjustRightInd w:val="0"/>
                    <w:jc w:val="both"/>
                    <w:rPr>
                      <w:rFonts w:cstheme="minorHAnsi"/>
                      <w:lang w:val="es-MX"/>
                    </w:rPr>
                  </w:pPr>
                  <w:r w:rsidRPr="00B30908">
                    <w:rPr>
                      <w:rFonts w:cstheme="minorHAnsi"/>
                    </w:rPr>
                    <w:t>Hogares que clasifican sus desechos inorgánicos</w:t>
                  </w:r>
                </w:p>
              </w:tc>
            </w:tr>
            <w:tr w:rsidR="00B30908" w:rsidRPr="00BB3D89" w:rsidTr="00B30908">
              <w:trPr>
                <w:tblCellSpacing w:w="20" w:type="dxa"/>
                <w:jc w:val="center"/>
              </w:trPr>
              <w:tc>
                <w:tcPr>
                  <w:tcW w:w="937" w:type="dxa"/>
                </w:tcPr>
                <w:p w:rsidR="00B30908" w:rsidRPr="00B30908" w:rsidRDefault="00B30908" w:rsidP="00B30908">
                  <w:pPr>
                    <w:ind w:right="49"/>
                    <w:jc w:val="both"/>
                    <w:rPr>
                      <w:rFonts w:cstheme="minorHAnsi"/>
                      <w:b/>
                      <w:lang w:val="es-MX"/>
                    </w:rPr>
                  </w:pPr>
                  <w:r w:rsidRPr="00B30908">
                    <w:rPr>
                      <w:rFonts w:cstheme="minorHAnsi"/>
                      <w:b/>
                      <w:color w:val="000000"/>
                    </w:rPr>
                    <w:t>TH:</w:t>
                  </w:r>
                </w:p>
              </w:tc>
              <w:tc>
                <w:tcPr>
                  <w:tcW w:w="5887" w:type="dxa"/>
                </w:tcPr>
                <w:p w:rsidR="00B30908" w:rsidRPr="00B30908" w:rsidRDefault="00B30908" w:rsidP="00B30908">
                  <w:pPr>
                    <w:autoSpaceDE w:val="0"/>
                    <w:autoSpaceDN w:val="0"/>
                    <w:adjustRightInd w:val="0"/>
                    <w:jc w:val="both"/>
                    <w:rPr>
                      <w:rFonts w:eastAsia="Calibri" w:cstheme="minorHAnsi"/>
                      <w:lang w:eastAsia="en-US"/>
                    </w:rPr>
                  </w:pPr>
                  <w:r w:rsidRPr="00B30908">
                    <w:rPr>
                      <w:rFonts w:cstheme="minorHAnsi"/>
                    </w:rPr>
                    <w:t xml:space="preserve">Total de hogares </w:t>
                  </w:r>
                </w:p>
              </w:tc>
            </w:tr>
          </w:tbl>
          <w:p w:rsidR="00B30908" w:rsidRPr="0020009C" w:rsidRDefault="00B30908" w:rsidP="00B30908">
            <w:pPr>
              <w:rPr>
                <w:rFonts w:ascii="Calibri" w:hAnsi="Calibri" w:cs="Calibri"/>
                <w:bCs/>
                <w:lang w:val="es-EC"/>
              </w:rPr>
            </w:pPr>
          </w:p>
        </w:tc>
      </w:tr>
      <w:tr w:rsidR="00B30908" w:rsidRPr="0020009C" w:rsidTr="00A00CBC">
        <w:trPr>
          <w:trHeight w:val="340"/>
          <w:tblCellSpacing w:w="20" w:type="dxa"/>
          <w:jc w:val="center"/>
        </w:trPr>
        <w:tc>
          <w:tcPr>
            <w:tcW w:w="4959" w:type="pct"/>
            <w:gridSpan w:val="5"/>
            <w:shd w:val="clear" w:color="auto" w:fill="C6D9F1"/>
            <w:vAlign w:val="center"/>
            <w:hideMark/>
          </w:tcPr>
          <w:p w:rsidR="00B30908" w:rsidRPr="0020009C" w:rsidRDefault="00B30908" w:rsidP="00B30908">
            <w:pPr>
              <w:jc w:val="center"/>
              <w:rPr>
                <w:rFonts w:ascii="Calibri" w:hAnsi="Calibri" w:cs="Calibri"/>
                <w:b/>
                <w:bCs/>
                <w:lang w:val="es-EC"/>
              </w:rPr>
            </w:pPr>
            <w:r w:rsidRPr="0020009C">
              <w:rPr>
                <w:rFonts w:ascii="Calibri" w:hAnsi="Calibri" w:cs="Calibri"/>
                <w:b/>
                <w:bCs/>
              </w:rPr>
              <w:t>D</w:t>
            </w:r>
            <w:r w:rsidRPr="0020009C">
              <w:rPr>
                <w:rFonts w:ascii="Calibri" w:hAnsi="Calibri" w:cs="Calibri"/>
                <w:b/>
                <w:bCs/>
                <w:lang w:val="es-EC"/>
              </w:rPr>
              <w:t>EFINICIÓN DE LAS VARIABLES RELACIONADAS</w:t>
            </w:r>
          </w:p>
        </w:tc>
      </w:tr>
      <w:tr w:rsidR="00B30908" w:rsidRPr="0020009C" w:rsidTr="00A00CBC">
        <w:trPr>
          <w:trHeight w:val="338"/>
          <w:tblCellSpacing w:w="20" w:type="dxa"/>
          <w:jc w:val="center"/>
        </w:trPr>
        <w:tc>
          <w:tcPr>
            <w:tcW w:w="4959" w:type="pct"/>
            <w:gridSpan w:val="5"/>
            <w:shd w:val="clear" w:color="auto" w:fill="auto"/>
          </w:tcPr>
          <w:p w:rsidR="00B30908" w:rsidRPr="00B30908" w:rsidRDefault="00B30908" w:rsidP="00296D03"/>
          <w:p w:rsidR="00B30908" w:rsidRPr="00B30908" w:rsidRDefault="00B30908" w:rsidP="00296D03">
            <w:r w:rsidRPr="00B30908">
              <w:t xml:space="preserve">Desecho.- Cualquier tipo de productos residuales, restos, residuos o basura no peligrosa, originados por personas naturales o jurídicas, públicas o privadas, que pueden ser sólidos o semisólidos, que se pudre o no. </w:t>
            </w:r>
          </w:p>
          <w:p w:rsidR="00B30908" w:rsidRPr="00B30908" w:rsidRDefault="00B30908" w:rsidP="00296D03"/>
          <w:p w:rsidR="00B30908" w:rsidRPr="00B30908" w:rsidRDefault="00B30908" w:rsidP="00296D03">
            <w:r w:rsidRPr="00B30908">
              <w:t>Clasificación de desechos.- Proceso mediante el cual se realiza la separación de los distintos tipos de desechos de acuerdo a sus características.</w:t>
            </w:r>
          </w:p>
          <w:p w:rsidR="00B30908" w:rsidRPr="00B30908" w:rsidRDefault="00B30908" w:rsidP="00296D03"/>
          <w:p w:rsidR="00B30908" w:rsidRPr="00B30908" w:rsidRDefault="00B30908" w:rsidP="00296D03">
            <w:r w:rsidRPr="00B30908">
              <w:t>Desechos Sólidos.- El desecho sólido es todo sólido no peligroso, que se pudre o no, con excepción de excretas de origen humano o animal. Se incluye en la misma definición a los desperdicios, cenizas, elementos del barrido de calles, desechos industriales, de establecimientos hospitalarios no contaminantes, plazas de mercado, ferias populares, playas, escombros, entre otros (Anexo 6 del Libro VI del TULAS).</w:t>
            </w:r>
          </w:p>
          <w:p w:rsidR="00B30908" w:rsidRPr="00B30908" w:rsidRDefault="00B30908" w:rsidP="00296D03"/>
          <w:p w:rsidR="00B30908" w:rsidRPr="00B30908" w:rsidRDefault="00B30908" w:rsidP="00296D03">
            <w:r w:rsidRPr="00B30908">
              <w:t xml:space="preserve">Orgánicos.- Son todos aquellos que tienen su origen en los seres vivos, animales o vegetales. Incluyen una gran diversidad de residuos que se originan naturalmente durante el ciclo de vida, como consecuencia de sus funciones fisiológicas de mantenimiento y perpetuación, o son productos de la explotación de los recursos bióticos. </w:t>
            </w:r>
          </w:p>
          <w:p w:rsidR="00B30908" w:rsidRPr="00B30908" w:rsidRDefault="00B30908" w:rsidP="00296D03"/>
          <w:p w:rsidR="00B30908" w:rsidRPr="00B30908" w:rsidRDefault="00B30908" w:rsidP="00296D03">
            <w:r w:rsidRPr="00B30908">
              <w:lastRenderedPageBreak/>
              <w:t xml:space="preserve">Desecho Orgánico: </w:t>
            </w:r>
            <w:r w:rsidRPr="00B30908">
              <w:rPr>
                <w:iCs/>
              </w:rPr>
              <w:t xml:space="preserve">Es el caso de las verduras, las cáscaras de fruta o huevos, los huesos de la carne y el pollo, las espinas de pescado, restos de comida, etc. Este tipo de residuos representan la materia prima para el establecimiento de un programa de compostaje, por lo que idealmente deberían separarse del resto de materiales de desecho. Se trata de identificar a estos </w:t>
            </w:r>
            <w:r w:rsidRPr="00B30908">
              <w:t>hogares que clasifican los desechos orgánicos.</w:t>
            </w:r>
          </w:p>
          <w:p w:rsidR="00B30908" w:rsidRPr="00B30908" w:rsidRDefault="00B30908" w:rsidP="00296D03"/>
          <w:p w:rsidR="00B30908" w:rsidRPr="00B30908" w:rsidRDefault="00B30908" w:rsidP="00296D03">
            <w:r w:rsidRPr="00B30908">
              <w:t>Inorgánicos.- Son aquellos que por su característica química sufren una descomposición natural muy lenta. Muchos de ellos son de origen natural pero no son biodegradables. Generalmente se reciclan a través de métodos artificiales y mecánicos.</w:t>
            </w:r>
          </w:p>
          <w:p w:rsidR="00B30908" w:rsidRPr="00B30908" w:rsidRDefault="00B30908" w:rsidP="00296D03"/>
          <w:p w:rsidR="00B30908" w:rsidRPr="00B30908" w:rsidRDefault="00B30908" w:rsidP="00296D03">
            <w:r w:rsidRPr="00B30908">
              <w:t>Desecho Inorgánico</w:t>
            </w:r>
            <w:r w:rsidRPr="00B30908">
              <w:rPr>
                <w:i/>
                <w:iCs/>
              </w:rPr>
              <w:t xml:space="preserve">: </w:t>
            </w:r>
            <w:r w:rsidRPr="00B30908">
              <w:rPr>
                <w:iCs/>
              </w:rPr>
              <w:t>Aquel residuo que no presenta un origen biológico, es decir, no proviene de un organismo vivo directamente sino que proviene del medio industrial o es el resultado de algún proceso no natural. Los productos de tipo industrial como por ejemplo las botellas, los plásticos, entre otros, son un ejemplo de este tipo de basura.</w:t>
            </w:r>
          </w:p>
          <w:p w:rsidR="00B30908" w:rsidRPr="00B30908" w:rsidRDefault="00B30908" w:rsidP="00296D03"/>
          <w:p w:rsidR="00B30908" w:rsidRPr="00B30908" w:rsidRDefault="00B30908" w:rsidP="00296D03">
            <w:r w:rsidRPr="00B30908">
              <w:t>Hogar.-  Es la unidad social conformada por una persona o grupo de personas que se asocian para compartir el alojamiento y la alimentación. Es decir, hogar es el conjunto de personas que residen habitualmente en la misma vivienda o en parte de ella (viven bajo el mismo techo), que están unidas o no por lazos de parentesco, y que cocinan en común para todos sus miembros (comen de la misma olla).</w:t>
            </w:r>
          </w:p>
          <w:p w:rsidR="00B30908" w:rsidRPr="00B30908" w:rsidRDefault="00B30908" w:rsidP="00B30908">
            <w:pPr>
              <w:rPr>
                <w:rFonts w:ascii="Calibri" w:hAnsi="Calibri" w:cs="Calibri"/>
                <w:lang w:val="es-MX"/>
              </w:rPr>
            </w:pPr>
          </w:p>
        </w:tc>
      </w:tr>
      <w:tr w:rsidR="00B30908" w:rsidRPr="0020009C" w:rsidTr="00A00CBC">
        <w:trPr>
          <w:trHeight w:val="340"/>
          <w:tblCellSpacing w:w="20" w:type="dxa"/>
          <w:jc w:val="center"/>
        </w:trPr>
        <w:tc>
          <w:tcPr>
            <w:tcW w:w="4959" w:type="pct"/>
            <w:gridSpan w:val="5"/>
            <w:shd w:val="clear" w:color="auto" w:fill="C6D9F1"/>
            <w:vAlign w:val="center"/>
            <w:hideMark/>
          </w:tcPr>
          <w:p w:rsidR="00B30908" w:rsidRPr="0020009C" w:rsidRDefault="00B30908" w:rsidP="00B30908">
            <w:pPr>
              <w:jc w:val="center"/>
              <w:rPr>
                <w:rFonts w:ascii="Calibri" w:hAnsi="Calibri" w:cs="Calibri"/>
                <w:b/>
                <w:bCs/>
                <w:lang w:val="es-EC"/>
              </w:rPr>
            </w:pPr>
            <w:r w:rsidRPr="0020009C">
              <w:rPr>
                <w:rFonts w:ascii="Calibri" w:hAnsi="Calibri" w:cs="Calibri"/>
                <w:b/>
                <w:bCs/>
                <w:lang w:val="es-EC"/>
              </w:rPr>
              <w:lastRenderedPageBreak/>
              <w:t>METODOLOGÍA DE CÁLCULO</w:t>
            </w:r>
          </w:p>
        </w:tc>
      </w:tr>
      <w:tr w:rsidR="00B30908" w:rsidRPr="0020009C" w:rsidTr="00A00CBC">
        <w:trPr>
          <w:trHeight w:val="364"/>
          <w:tblCellSpacing w:w="20" w:type="dxa"/>
          <w:jc w:val="center"/>
        </w:trPr>
        <w:tc>
          <w:tcPr>
            <w:tcW w:w="4959" w:type="pct"/>
            <w:gridSpan w:val="5"/>
            <w:tcBorders>
              <w:top w:val="outset" w:sz="6" w:space="0" w:color="auto"/>
              <w:bottom w:val="outset" w:sz="6" w:space="0" w:color="auto"/>
            </w:tcBorders>
            <w:shd w:val="clear" w:color="auto" w:fill="FFFFFF"/>
            <w:vAlign w:val="center"/>
            <w:hideMark/>
          </w:tcPr>
          <w:p w:rsidR="00B30908" w:rsidRDefault="00B30908" w:rsidP="00296D03"/>
          <w:p w:rsidR="00B30908" w:rsidRPr="00B30908" w:rsidRDefault="00B30908" w:rsidP="00296D03">
            <w:pPr>
              <w:rPr>
                <w:rFonts w:cstheme="minorHAnsi"/>
              </w:rPr>
            </w:pPr>
            <w:r w:rsidRPr="00B30908">
              <w:rPr>
                <w:rFonts w:cstheme="minorHAnsi"/>
              </w:rPr>
              <w:t>Para obtener este indicador, se hace referencia a la Base de Datos de la Encuesta Nacional de Empleo, Desempleo y Subempleo (ENEMDU, sección “</w:t>
            </w:r>
            <w:r w:rsidRPr="00B30908">
              <w:rPr>
                <w:rFonts w:cstheme="minorHAnsi"/>
                <w:i/>
              </w:rPr>
              <w:t>Información ambiental”),</w:t>
            </w:r>
            <w:r w:rsidRPr="00B30908">
              <w:rPr>
                <w:rFonts w:cstheme="minorHAnsi"/>
              </w:rPr>
              <w:t xml:space="preserve"> sección que sólo se levanta en el mes de diciembre, y que consta de 33 preguntas.</w:t>
            </w:r>
          </w:p>
          <w:p w:rsidR="00B30908" w:rsidRPr="00B30908" w:rsidRDefault="00B30908" w:rsidP="00296D03">
            <w:pPr>
              <w:rPr>
                <w:rFonts w:cstheme="minorHAnsi"/>
              </w:rPr>
            </w:pPr>
          </w:p>
          <w:p w:rsidR="00B30908" w:rsidRPr="00B30908" w:rsidRDefault="00B30908" w:rsidP="00296D03">
            <w:pPr>
              <w:rPr>
                <w:rFonts w:cstheme="minorHAnsi"/>
                <w:i/>
              </w:rPr>
            </w:pPr>
            <w:r w:rsidRPr="00B30908">
              <w:rPr>
                <w:rFonts w:cstheme="minorHAnsi"/>
              </w:rPr>
              <w:t xml:space="preserve">En el cálculo de este indicador se analiza las siguientes preguntas: </w:t>
            </w:r>
            <w:r w:rsidRPr="00B30908">
              <w:rPr>
                <w:rFonts w:cstheme="minorHAnsi"/>
                <w:i/>
              </w:rPr>
              <w:t>¿Durante los ÚLTIMOS 12 MESES, clasificó los RESIDUOS en su hogar?</w:t>
            </w:r>
            <w:r w:rsidRPr="00B30908">
              <w:rPr>
                <w:rFonts w:cstheme="minorHAnsi"/>
              </w:rPr>
              <w:t xml:space="preserve">, </w:t>
            </w:r>
            <w:r w:rsidRPr="00B30908">
              <w:rPr>
                <w:rFonts w:cstheme="minorHAnsi"/>
                <w:b/>
              </w:rPr>
              <w:t>Y</w:t>
            </w:r>
            <w:r w:rsidRPr="00B30908">
              <w:rPr>
                <w:rFonts w:cstheme="minorHAnsi"/>
              </w:rPr>
              <w:t xml:space="preserve"> </w:t>
            </w:r>
            <w:r w:rsidRPr="00B30908">
              <w:rPr>
                <w:rFonts w:cstheme="minorHAnsi"/>
                <w:i/>
              </w:rPr>
              <w:t>¿CLASIFICÓ durante los ÚLTIMOS 12 MESES, residuos: Orgánicos?,</w:t>
            </w:r>
            <w:r w:rsidRPr="00B30908">
              <w:rPr>
                <w:rFonts w:cstheme="minorHAnsi"/>
              </w:rPr>
              <w:t xml:space="preserve"> </w:t>
            </w:r>
            <w:r w:rsidRPr="00B30908">
              <w:rPr>
                <w:rFonts w:cstheme="minorHAnsi"/>
                <w:i/>
              </w:rPr>
              <w:t xml:space="preserve">¿CLASIFICÓ durante los ÚLTIMOS 12 MESES, residuos: Inorgánicos – Papel, cartón?, </w:t>
            </w:r>
            <w:r w:rsidRPr="00B30908">
              <w:rPr>
                <w:rFonts w:cstheme="minorHAnsi"/>
                <w:b/>
                <w:i/>
              </w:rPr>
              <w:t>O</w:t>
            </w:r>
            <w:r w:rsidRPr="00B30908">
              <w:rPr>
                <w:rFonts w:cstheme="minorHAnsi"/>
                <w:i/>
              </w:rPr>
              <w:t xml:space="preserve"> ¿CLASIFICÓ durante los ÚLTIMOS 12 MESES, residuos: Inorgánicos – Plástico?, </w:t>
            </w:r>
            <w:r w:rsidRPr="00B30908">
              <w:rPr>
                <w:rFonts w:cstheme="minorHAnsi"/>
                <w:b/>
                <w:i/>
              </w:rPr>
              <w:t>O</w:t>
            </w:r>
            <w:r w:rsidRPr="00B30908">
              <w:rPr>
                <w:rFonts w:cstheme="minorHAnsi"/>
                <w:i/>
              </w:rPr>
              <w:t xml:space="preserve"> ¿CLASIFICÓ durante los ÚLTIMOS 12 MESES, residuos: Inorgánicos – Vidrio?, </w:t>
            </w:r>
            <w:r w:rsidRPr="00B30908">
              <w:rPr>
                <w:rFonts w:cstheme="minorHAnsi"/>
              </w:rPr>
              <w:t>se considera únicamente las respuestas del Jefe de hogar o del cónyuge que responden afirmativamente.</w:t>
            </w:r>
          </w:p>
          <w:p w:rsidR="00B30908" w:rsidRPr="00B30908" w:rsidRDefault="00B30908" w:rsidP="00296D03">
            <w:pPr>
              <w:rPr>
                <w:rFonts w:cstheme="minorHAnsi"/>
              </w:rPr>
            </w:pPr>
          </w:p>
          <w:p w:rsidR="00B30908" w:rsidRPr="00B30908" w:rsidRDefault="00B30908" w:rsidP="00296D03">
            <w:pPr>
              <w:rPr>
                <w:rFonts w:ascii="Calibri" w:hAnsi="Calibri" w:cs="Calibri"/>
              </w:rPr>
            </w:pPr>
            <w:r w:rsidRPr="00B30908">
              <w:rPr>
                <w:rFonts w:cstheme="minorHAnsi"/>
              </w:rPr>
              <w:t>El valor a obtener en su numerador es dado por la sumatoria de la variable hogar de las respuestas afirmativas que clasifican orgánicos, de igual forma para la sumatoria de las respuestas afirmativas que clasifican inorgánicos, para el denominador se acoge la variable hogar total que sin elección o condicionante alguna se procede a realizar la sumatoria del periodo de tiempo en análisis, multiplicado por cien.</w:t>
            </w:r>
          </w:p>
        </w:tc>
      </w:tr>
      <w:tr w:rsidR="00B30908" w:rsidRPr="0020009C" w:rsidTr="00A00CBC">
        <w:trPr>
          <w:trHeight w:val="340"/>
          <w:tblCellSpacing w:w="20" w:type="dxa"/>
          <w:jc w:val="center"/>
        </w:trPr>
        <w:tc>
          <w:tcPr>
            <w:tcW w:w="4959" w:type="pct"/>
            <w:gridSpan w:val="5"/>
            <w:shd w:val="clear" w:color="auto" w:fill="C6D9F1"/>
            <w:vAlign w:val="center"/>
            <w:hideMark/>
          </w:tcPr>
          <w:p w:rsidR="00B30908" w:rsidRPr="0020009C" w:rsidRDefault="00B30908" w:rsidP="00B30908">
            <w:pPr>
              <w:jc w:val="center"/>
              <w:rPr>
                <w:rFonts w:ascii="Calibri" w:hAnsi="Calibri" w:cs="Calibri"/>
                <w:b/>
                <w:lang w:val="es-EC"/>
              </w:rPr>
            </w:pPr>
            <w:r w:rsidRPr="0020009C">
              <w:rPr>
                <w:rFonts w:ascii="Calibri" w:hAnsi="Calibri" w:cs="Calibri"/>
                <w:b/>
                <w:bCs/>
                <w:lang w:val="es-EC"/>
              </w:rPr>
              <w:t>LIMITACIONES TÉCNICAS</w:t>
            </w:r>
          </w:p>
        </w:tc>
      </w:tr>
      <w:tr w:rsidR="00B30908" w:rsidRPr="0020009C" w:rsidTr="00A00CBC">
        <w:trPr>
          <w:trHeight w:val="364"/>
          <w:tblCellSpacing w:w="20" w:type="dxa"/>
          <w:jc w:val="center"/>
        </w:trPr>
        <w:tc>
          <w:tcPr>
            <w:tcW w:w="4959" w:type="pct"/>
            <w:gridSpan w:val="5"/>
            <w:shd w:val="clear" w:color="auto" w:fill="auto"/>
            <w:vAlign w:val="center"/>
            <w:hideMark/>
          </w:tcPr>
          <w:p w:rsidR="00B30908" w:rsidRPr="00B30908" w:rsidRDefault="00B30908" w:rsidP="00296D03"/>
          <w:p w:rsidR="00B30908" w:rsidRPr="00B30908" w:rsidRDefault="00B30908" w:rsidP="00296D03">
            <w:r w:rsidRPr="00B30908">
              <w:t>El indicador del año 2013 a nivel País, no es comparable con el resto de años de la serie disponible, por no tener incluida a Galápagos.</w:t>
            </w:r>
          </w:p>
          <w:p w:rsidR="00B30908" w:rsidRPr="00B30908" w:rsidRDefault="00B30908" w:rsidP="00296D03"/>
          <w:p w:rsidR="00B30908" w:rsidRPr="0020009C" w:rsidRDefault="00B30908" w:rsidP="00296D03">
            <w:pPr>
              <w:rPr>
                <w:rFonts w:ascii="Calibri" w:hAnsi="Calibri" w:cs="Calibri"/>
                <w:lang w:val="es-EC"/>
              </w:rPr>
            </w:pPr>
            <w:r w:rsidRPr="00B30908">
              <w:lastRenderedPageBreak/>
              <w:t>Al hablar de los hogares, hay que tener muy en cuenta que la estimación obtenida representa sólo al jefe de hogar o cónyuge, y no a la de todos sus miembros, aspecto importante a la hora de comparar, contextualizar o analizar.</w:t>
            </w:r>
          </w:p>
        </w:tc>
      </w:tr>
      <w:tr w:rsidR="00B30908" w:rsidRPr="0020009C" w:rsidTr="00296D03">
        <w:trPr>
          <w:trHeight w:val="510"/>
          <w:tblCellSpacing w:w="20" w:type="dxa"/>
          <w:jc w:val="center"/>
        </w:trPr>
        <w:tc>
          <w:tcPr>
            <w:tcW w:w="1998" w:type="pct"/>
            <w:gridSpan w:val="3"/>
            <w:shd w:val="clear" w:color="auto" w:fill="C6D9F1"/>
            <w:vAlign w:val="center"/>
          </w:tcPr>
          <w:p w:rsidR="00B30908" w:rsidRPr="0020009C" w:rsidRDefault="00B30908" w:rsidP="00B30908">
            <w:pPr>
              <w:rPr>
                <w:rFonts w:ascii="Calibri" w:hAnsi="Calibri" w:cs="Calibri"/>
                <w:b/>
                <w:bCs/>
                <w:lang w:val="es-EC"/>
              </w:rPr>
            </w:pPr>
            <w:r w:rsidRPr="0020009C">
              <w:rPr>
                <w:rFonts w:ascii="Calibri" w:hAnsi="Calibri" w:cs="Calibri"/>
                <w:b/>
                <w:bCs/>
                <w:lang w:val="es-EC"/>
              </w:rPr>
              <w:lastRenderedPageBreak/>
              <w:t>UNIDAD DE MEDIDA O EXPRESIÓN DEL INDICADOR</w:t>
            </w:r>
          </w:p>
        </w:tc>
        <w:tc>
          <w:tcPr>
            <w:tcW w:w="2940" w:type="pct"/>
            <w:gridSpan w:val="2"/>
            <w:shd w:val="clear" w:color="auto" w:fill="auto"/>
            <w:vAlign w:val="center"/>
          </w:tcPr>
          <w:tbl>
            <w:tblPr>
              <w:tblStyle w:val="Tablaconcuadrcula"/>
              <w:tblW w:w="2825" w:type="dxa"/>
              <w:jc w:val="center"/>
              <w:tblCellSpacing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
              <w:gridCol w:w="1720"/>
            </w:tblGrid>
            <w:tr w:rsidR="00B30908" w:rsidRPr="001136F2" w:rsidTr="00B30908">
              <w:trPr>
                <w:trHeight w:val="171"/>
                <w:tblCellSpacing w:w="20" w:type="dxa"/>
                <w:jc w:val="center"/>
              </w:trPr>
              <w:tc>
                <w:tcPr>
                  <w:tcW w:w="1045" w:type="dxa"/>
                </w:tcPr>
                <w:p w:rsidR="00B30908" w:rsidRPr="00B30908" w:rsidRDefault="00B30908" w:rsidP="00B30908">
                  <w:pPr>
                    <w:ind w:right="49"/>
                    <w:jc w:val="both"/>
                    <w:rPr>
                      <w:rFonts w:cstheme="minorHAnsi"/>
                      <w:b/>
                      <w:sz w:val="20"/>
                      <w:szCs w:val="20"/>
                      <w:lang w:val="es-MX"/>
                    </w:rPr>
                  </w:pPr>
                  <w:r w:rsidRPr="00B30908">
                    <w:rPr>
                      <w:rFonts w:cstheme="minorHAnsi"/>
                      <w:b/>
                      <w:color w:val="000000"/>
                      <w:sz w:val="20"/>
                      <w:szCs w:val="20"/>
                    </w:rPr>
                    <w:t>PHCO:</w:t>
                  </w:r>
                </w:p>
              </w:tc>
              <w:tc>
                <w:tcPr>
                  <w:tcW w:w="1660" w:type="dxa"/>
                </w:tcPr>
                <w:p w:rsidR="00B30908" w:rsidRPr="00B30908" w:rsidRDefault="00B30908" w:rsidP="00B30908">
                  <w:pPr>
                    <w:autoSpaceDE w:val="0"/>
                    <w:autoSpaceDN w:val="0"/>
                    <w:adjustRightInd w:val="0"/>
                    <w:jc w:val="both"/>
                    <w:rPr>
                      <w:rFonts w:cstheme="minorHAnsi"/>
                      <w:sz w:val="20"/>
                      <w:szCs w:val="20"/>
                      <w:lang w:val="es-MX"/>
                    </w:rPr>
                  </w:pPr>
                  <w:r w:rsidRPr="00B30908">
                    <w:rPr>
                      <w:rFonts w:cstheme="minorHAnsi"/>
                      <w:sz w:val="20"/>
                      <w:szCs w:val="20"/>
                    </w:rPr>
                    <w:t>Porcentaje</w:t>
                  </w:r>
                </w:p>
              </w:tc>
            </w:tr>
            <w:tr w:rsidR="00B30908" w:rsidRPr="001136F2" w:rsidTr="00B30908">
              <w:trPr>
                <w:trHeight w:val="90"/>
                <w:tblCellSpacing w:w="20" w:type="dxa"/>
                <w:jc w:val="center"/>
              </w:trPr>
              <w:tc>
                <w:tcPr>
                  <w:tcW w:w="1045" w:type="dxa"/>
                </w:tcPr>
                <w:p w:rsidR="00B30908" w:rsidRPr="00B30908" w:rsidRDefault="00B30908" w:rsidP="00B30908">
                  <w:pPr>
                    <w:ind w:right="49"/>
                    <w:jc w:val="both"/>
                    <w:rPr>
                      <w:rFonts w:cstheme="minorHAnsi"/>
                      <w:b/>
                      <w:sz w:val="20"/>
                      <w:szCs w:val="20"/>
                      <w:lang w:val="es-MX"/>
                    </w:rPr>
                  </w:pPr>
                  <w:r w:rsidRPr="00B30908">
                    <w:rPr>
                      <w:rFonts w:cstheme="minorHAnsi"/>
                      <w:b/>
                      <w:color w:val="000000"/>
                      <w:sz w:val="20"/>
                      <w:szCs w:val="20"/>
                    </w:rPr>
                    <w:t>PHCI:</w:t>
                  </w:r>
                </w:p>
              </w:tc>
              <w:tc>
                <w:tcPr>
                  <w:tcW w:w="1660" w:type="dxa"/>
                </w:tcPr>
                <w:p w:rsidR="00B30908" w:rsidRPr="00B30908" w:rsidRDefault="00B30908" w:rsidP="00B30908">
                  <w:pPr>
                    <w:autoSpaceDE w:val="0"/>
                    <w:autoSpaceDN w:val="0"/>
                    <w:adjustRightInd w:val="0"/>
                    <w:jc w:val="both"/>
                    <w:rPr>
                      <w:rFonts w:cstheme="minorHAnsi"/>
                      <w:sz w:val="20"/>
                      <w:szCs w:val="20"/>
                      <w:lang w:val="es-MX"/>
                    </w:rPr>
                  </w:pPr>
                  <w:r w:rsidRPr="00B30908">
                    <w:rPr>
                      <w:rFonts w:cstheme="minorHAnsi"/>
                      <w:sz w:val="20"/>
                      <w:szCs w:val="20"/>
                    </w:rPr>
                    <w:t>Porcentaje</w:t>
                  </w:r>
                </w:p>
              </w:tc>
            </w:tr>
            <w:tr w:rsidR="00B30908" w:rsidRPr="004B7D4E" w:rsidTr="00B30908">
              <w:trPr>
                <w:trHeight w:val="90"/>
                <w:tblCellSpacing w:w="20" w:type="dxa"/>
                <w:jc w:val="center"/>
              </w:trPr>
              <w:tc>
                <w:tcPr>
                  <w:tcW w:w="1045" w:type="dxa"/>
                </w:tcPr>
                <w:p w:rsidR="00B30908" w:rsidRPr="00B30908" w:rsidRDefault="00B30908" w:rsidP="00B30908">
                  <w:pPr>
                    <w:ind w:right="49"/>
                    <w:jc w:val="both"/>
                    <w:rPr>
                      <w:rFonts w:cstheme="minorHAnsi"/>
                      <w:b/>
                      <w:sz w:val="20"/>
                      <w:szCs w:val="20"/>
                      <w:lang w:val="es-MX"/>
                    </w:rPr>
                  </w:pPr>
                  <w:r w:rsidRPr="00B30908">
                    <w:rPr>
                      <w:rFonts w:cstheme="minorHAnsi"/>
                      <w:b/>
                      <w:sz w:val="20"/>
                      <w:szCs w:val="20"/>
                      <w:lang w:val="es-MX"/>
                    </w:rPr>
                    <w:t>t:</w:t>
                  </w:r>
                </w:p>
              </w:tc>
              <w:tc>
                <w:tcPr>
                  <w:tcW w:w="1660" w:type="dxa"/>
                </w:tcPr>
                <w:p w:rsidR="00B30908" w:rsidRPr="00B30908" w:rsidRDefault="00B30908" w:rsidP="00B30908">
                  <w:pPr>
                    <w:autoSpaceDE w:val="0"/>
                    <w:autoSpaceDN w:val="0"/>
                    <w:adjustRightInd w:val="0"/>
                    <w:jc w:val="both"/>
                    <w:rPr>
                      <w:rFonts w:cstheme="minorHAnsi"/>
                      <w:sz w:val="20"/>
                      <w:szCs w:val="20"/>
                      <w:lang w:val="es-MX"/>
                    </w:rPr>
                  </w:pPr>
                  <w:r w:rsidRPr="00B30908">
                    <w:rPr>
                      <w:rFonts w:cstheme="minorHAnsi"/>
                      <w:sz w:val="20"/>
                      <w:szCs w:val="20"/>
                      <w:lang w:val="es-MX"/>
                    </w:rPr>
                    <w:t>Año</w:t>
                  </w:r>
                </w:p>
              </w:tc>
            </w:tr>
            <w:tr w:rsidR="00B30908" w:rsidRPr="00BB3D89" w:rsidTr="00B30908">
              <w:trPr>
                <w:trHeight w:val="184"/>
                <w:tblCellSpacing w:w="20" w:type="dxa"/>
                <w:jc w:val="center"/>
              </w:trPr>
              <w:tc>
                <w:tcPr>
                  <w:tcW w:w="1045" w:type="dxa"/>
                </w:tcPr>
                <w:p w:rsidR="00B30908" w:rsidRPr="00B30908" w:rsidRDefault="00B30908" w:rsidP="00B30908">
                  <w:pPr>
                    <w:ind w:right="49"/>
                    <w:jc w:val="both"/>
                    <w:rPr>
                      <w:rFonts w:cstheme="minorHAnsi"/>
                      <w:b/>
                      <w:sz w:val="20"/>
                      <w:szCs w:val="20"/>
                      <w:lang w:val="es-MX"/>
                    </w:rPr>
                  </w:pPr>
                  <w:r w:rsidRPr="00B30908">
                    <w:rPr>
                      <w:rFonts w:cstheme="minorHAnsi"/>
                      <w:b/>
                      <w:color w:val="000000"/>
                      <w:sz w:val="20"/>
                      <w:szCs w:val="20"/>
                    </w:rPr>
                    <w:t>HCO</w:t>
                  </w:r>
                  <w:r w:rsidRPr="00B30908">
                    <w:rPr>
                      <w:rFonts w:cstheme="minorHAnsi"/>
                      <w:b/>
                      <w:sz w:val="20"/>
                      <w:szCs w:val="20"/>
                      <w:lang w:val="es-MX"/>
                    </w:rPr>
                    <w:t>:</w:t>
                  </w:r>
                </w:p>
              </w:tc>
              <w:tc>
                <w:tcPr>
                  <w:tcW w:w="1660" w:type="dxa"/>
                </w:tcPr>
                <w:p w:rsidR="00B30908" w:rsidRPr="00B30908" w:rsidRDefault="00B30908" w:rsidP="00B30908">
                  <w:pPr>
                    <w:autoSpaceDE w:val="0"/>
                    <w:autoSpaceDN w:val="0"/>
                    <w:adjustRightInd w:val="0"/>
                    <w:jc w:val="both"/>
                    <w:rPr>
                      <w:rFonts w:cstheme="minorHAnsi"/>
                      <w:sz w:val="20"/>
                      <w:szCs w:val="20"/>
                      <w:lang w:val="es-MX"/>
                    </w:rPr>
                  </w:pPr>
                  <w:r w:rsidRPr="00B30908">
                    <w:rPr>
                      <w:rFonts w:cstheme="minorHAnsi"/>
                      <w:sz w:val="20"/>
                      <w:szCs w:val="20"/>
                    </w:rPr>
                    <w:t>Unidad</w:t>
                  </w:r>
                </w:p>
              </w:tc>
            </w:tr>
            <w:tr w:rsidR="00B30908" w:rsidRPr="00BB3D89" w:rsidTr="00B30908">
              <w:trPr>
                <w:trHeight w:val="171"/>
                <w:tblCellSpacing w:w="20" w:type="dxa"/>
                <w:jc w:val="center"/>
              </w:trPr>
              <w:tc>
                <w:tcPr>
                  <w:tcW w:w="1045" w:type="dxa"/>
                </w:tcPr>
                <w:p w:rsidR="00B30908" w:rsidRPr="00B30908" w:rsidRDefault="00B30908" w:rsidP="00B30908">
                  <w:pPr>
                    <w:ind w:right="49"/>
                    <w:jc w:val="both"/>
                    <w:rPr>
                      <w:rFonts w:cstheme="minorHAnsi"/>
                      <w:b/>
                      <w:sz w:val="20"/>
                      <w:szCs w:val="20"/>
                      <w:lang w:val="es-MX"/>
                    </w:rPr>
                  </w:pPr>
                  <w:r w:rsidRPr="00B30908">
                    <w:rPr>
                      <w:rFonts w:cstheme="minorHAnsi"/>
                      <w:b/>
                      <w:color w:val="000000"/>
                      <w:sz w:val="20"/>
                      <w:szCs w:val="20"/>
                    </w:rPr>
                    <w:t>HCI</w:t>
                  </w:r>
                  <w:r w:rsidRPr="00B30908">
                    <w:rPr>
                      <w:rFonts w:cstheme="minorHAnsi"/>
                      <w:b/>
                      <w:sz w:val="20"/>
                      <w:szCs w:val="20"/>
                      <w:lang w:val="es-MX"/>
                    </w:rPr>
                    <w:t>:</w:t>
                  </w:r>
                </w:p>
              </w:tc>
              <w:tc>
                <w:tcPr>
                  <w:tcW w:w="1660" w:type="dxa"/>
                </w:tcPr>
                <w:p w:rsidR="00B30908" w:rsidRPr="00B30908" w:rsidRDefault="00B30908" w:rsidP="00B30908">
                  <w:pPr>
                    <w:autoSpaceDE w:val="0"/>
                    <w:autoSpaceDN w:val="0"/>
                    <w:adjustRightInd w:val="0"/>
                    <w:jc w:val="both"/>
                    <w:rPr>
                      <w:rFonts w:cstheme="minorHAnsi"/>
                      <w:sz w:val="20"/>
                      <w:szCs w:val="20"/>
                      <w:lang w:val="es-MX"/>
                    </w:rPr>
                  </w:pPr>
                  <w:r w:rsidRPr="00B30908">
                    <w:rPr>
                      <w:rFonts w:cstheme="minorHAnsi"/>
                      <w:sz w:val="20"/>
                      <w:szCs w:val="20"/>
                    </w:rPr>
                    <w:t>Unidad</w:t>
                  </w:r>
                </w:p>
              </w:tc>
            </w:tr>
            <w:tr w:rsidR="00B30908" w:rsidRPr="00B30908" w:rsidTr="00B30908">
              <w:trPr>
                <w:trHeight w:val="171"/>
                <w:tblCellSpacing w:w="20" w:type="dxa"/>
                <w:jc w:val="center"/>
              </w:trPr>
              <w:tc>
                <w:tcPr>
                  <w:tcW w:w="1045" w:type="dxa"/>
                </w:tcPr>
                <w:p w:rsidR="00B30908" w:rsidRPr="00B30908" w:rsidRDefault="00B30908" w:rsidP="00B30908">
                  <w:pPr>
                    <w:ind w:right="49"/>
                    <w:jc w:val="both"/>
                    <w:rPr>
                      <w:rFonts w:cstheme="minorHAnsi"/>
                      <w:b/>
                      <w:sz w:val="20"/>
                      <w:szCs w:val="20"/>
                      <w:lang w:val="es-MX"/>
                    </w:rPr>
                  </w:pPr>
                  <w:r w:rsidRPr="00B30908">
                    <w:rPr>
                      <w:rFonts w:cstheme="minorHAnsi"/>
                      <w:b/>
                      <w:color w:val="000000"/>
                      <w:sz w:val="20"/>
                      <w:szCs w:val="20"/>
                    </w:rPr>
                    <w:t>TH:</w:t>
                  </w:r>
                </w:p>
              </w:tc>
              <w:tc>
                <w:tcPr>
                  <w:tcW w:w="1660" w:type="dxa"/>
                </w:tcPr>
                <w:p w:rsidR="00B30908" w:rsidRPr="00B30908" w:rsidRDefault="00B30908" w:rsidP="00B30908">
                  <w:pPr>
                    <w:autoSpaceDE w:val="0"/>
                    <w:autoSpaceDN w:val="0"/>
                    <w:adjustRightInd w:val="0"/>
                    <w:jc w:val="both"/>
                    <w:rPr>
                      <w:rFonts w:eastAsia="Calibri" w:cstheme="minorHAnsi"/>
                      <w:sz w:val="20"/>
                      <w:szCs w:val="20"/>
                      <w:lang w:eastAsia="en-US"/>
                    </w:rPr>
                  </w:pPr>
                  <w:r w:rsidRPr="00B30908">
                    <w:rPr>
                      <w:rFonts w:cstheme="minorHAnsi"/>
                      <w:sz w:val="20"/>
                      <w:szCs w:val="20"/>
                    </w:rPr>
                    <w:t>Unidad</w:t>
                  </w:r>
                </w:p>
              </w:tc>
            </w:tr>
          </w:tbl>
          <w:p w:rsidR="00B30908" w:rsidRPr="0020009C" w:rsidRDefault="00B30908" w:rsidP="00B30908">
            <w:pPr>
              <w:rPr>
                <w:rFonts w:ascii="Calibri" w:hAnsi="Calibri" w:cs="Calibri"/>
                <w:lang w:val="es-EC"/>
              </w:rPr>
            </w:pPr>
          </w:p>
        </w:tc>
      </w:tr>
      <w:tr w:rsidR="00B30908" w:rsidRPr="0020009C" w:rsidTr="00296D03">
        <w:trPr>
          <w:trHeight w:val="340"/>
          <w:tblCellSpacing w:w="20" w:type="dxa"/>
          <w:jc w:val="center"/>
        </w:trPr>
        <w:tc>
          <w:tcPr>
            <w:tcW w:w="1998" w:type="pct"/>
            <w:gridSpan w:val="3"/>
            <w:shd w:val="clear" w:color="auto" w:fill="C6D9F1"/>
            <w:vAlign w:val="center"/>
            <w:hideMark/>
          </w:tcPr>
          <w:p w:rsidR="00B30908" w:rsidRPr="0020009C" w:rsidRDefault="00B30908" w:rsidP="00B30908">
            <w:pPr>
              <w:rPr>
                <w:rFonts w:ascii="Calibri" w:hAnsi="Calibri" w:cs="Calibri"/>
                <w:b/>
                <w:bCs/>
                <w:lang w:val="es-EC"/>
              </w:rPr>
            </w:pPr>
            <w:r w:rsidRPr="0020009C">
              <w:rPr>
                <w:rFonts w:ascii="Calibri" w:hAnsi="Calibri" w:cs="Calibri"/>
                <w:b/>
                <w:bCs/>
                <w:lang w:val="es-EC"/>
              </w:rPr>
              <w:t>INTERPRETACIÓN DEL INDICADOR</w:t>
            </w:r>
          </w:p>
        </w:tc>
        <w:tc>
          <w:tcPr>
            <w:tcW w:w="2940" w:type="pct"/>
            <w:gridSpan w:val="2"/>
            <w:shd w:val="clear" w:color="auto" w:fill="auto"/>
            <w:vAlign w:val="center"/>
          </w:tcPr>
          <w:p w:rsidR="00B30908" w:rsidRPr="00B30908" w:rsidRDefault="00B30908" w:rsidP="00296D03"/>
          <w:p w:rsidR="00B30908" w:rsidRPr="00B30908" w:rsidRDefault="00B30908" w:rsidP="00296D03">
            <w:r w:rsidRPr="00B30908">
              <w:t>Trata de mostrar la porción de los hogares que clasifican sus desechos orgánicos e inorgánicos con respecto al total.</w:t>
            </w:r>
          </w:p>
          <w:p w:rsidR="00B30908" w:rsidRPr="00B30908" w:rsidRDefault="00B30908" w:rsidP="00296D03"/>
          <w:p w:rsidR="00B30908" w:rsidRPr="00B30908" w:rsidRDefault="00B30908" w:rsidP="00296D03">
            <w:pPr>
              <w:rPr>
                <w:rFonts w:ascii="Calibri" w:hAnsi="Calibri" w:cs="Calibri"/>
              </w:rPr>
            </w:pPr>
            <w:r w:rsidRPr="00B30908">
              <w:t>Se considera positivo cuando su valor se aproxima al 100, indicando que la población va mejorando su costumbre en el manejo de desechos sólidos y la consideración al ambiente.</w:t>
            </w:r>
          </w:p>
        </w:tc>
      </w:tr>
      <w:tr w:rsidR="00B30908" w:rsidRPr="0020009C" w:rsidTr="00296D03">
        <w:trPr>
          <w:trHeight w:val="340"/>
          <w:tblCellSpacing w:w="20" w:type="dxa"/>
          <w:jc w:val="center"/>
        </w:trPr>
        <w:tc>
          <w:tcPr>
            <w:tcW w:w="1998" w:type="pct"/>
            <w:gridSpan w:val="3"/>
            <w:shd w:val="clear" w:color="auto" w:fill="C6D9F1"/>
            <w:vAlign w:val="center"/>
            <w:hideMark/>
          </w:tcPr>
          <w:p w:rsidR="00B30908" w:rsidRPr="0020009C" w:rsidRDefault="00B30908" w:rsidP="00B30908">
            <w:pPr>
              <w:rPr>
                <w:rFonts w:ascii="Calibri" w:hAnsi="Calibri" w:cs="Calibri"/>
                <w:b/>
                <w:bCs/>
                <w:lang w:val="es-EC"/>
              </w:rPr>
            </w:pPr>
            <w:r w:rsidRPr="0020009C">
              <w:rPr>
                <w:rFonts w:ascii="Calibri" w:hAnsi="Calibri" w:cs="Calibri"/>
                <w:b/>
                <w:bCs/>
                <w:lang w:val="es-EC"/>
              </w:rPr>
              <w:t>FUENTE DE DATOS</w:t>
            </w:r>
          </w:p>
        </w:tc>
        <w:tc>
          <w:tcPr>
            <w:tcW w:w="2940" w:type="pct"/>
            <w:gridSpan w:val="2"/>
            <w:shd w:val="clear" w:color="auto" w:fill="auto"/>
            <w:vAlign w:val="center"/>
          </w:tcPr>
          <w:p w:rsidR="00B30908" w:rsidRPr="00B30908" w:rsidRDefault="00B30908" w:rsidP="00296D03">
            <w:pPr>
              <w:rPr>
                <w:lang w:val="es-ES"/>
              </w:rPr>
            </w:pPr>
            <w:r w:rsidRPr="00B30908">
              <w:rPr>
                <w:color w:val="000000"/>
              </w:rPr>
              <w:t>Instituto Nacional de Estadística y Censos INEC. Encuesta de Empleo, Desempleo y Subempleo (ENEMDU). Ronda diciembre, sección</w:t>
            </w:r>
            <w:r w:rsidRPr="00B30908">
              <w:t xml:space="preserve"> información ambiental.</w:t>
            </w:r>
            <w:r w:rsidRPr="00B30908">
              <w:rPr>
                <w:color w:val="000000"/>
              </w:rPr>
              <w:t xml:space="preserve"> </w:t>
            </w:r>
            <w:r w:rsidRPr="00B30908">
              <w:t>2013 - 2017.</w:t>
            </w:r>
          </w:p>
        </w:tc>
      </w:tr>
      <w:tr w:rsidR="00B30908" w:rsidRPr="0020009C" w:rsidTr="00296D03">
        <w:trPr>
          <w:trHeight w:val="340"/>
          <w:tblCellSpacing w:w="20" w:type="dxa"/>
          <w:jc w:val="center"/>
        </w:trPr>
        <w:tc>
          <w:tcPr>
            <w:tcW w:w="1998" w:type="pct"/>
            <w:gridSpan w:val="3"/>
            <w:shd w:val="clear" w:color="auto" w:fill="C6D9F1"/>
            <w:vAlign w:val="center"/>
            <w:hideMark/>
          </w:tcPr>
          <w:p w:rsidR="00B30908" w:rsidRPr="0020009C" w:rsidRDefault="00B30908" w:rsidP="00B30908">
            <w:pPr>
              <w:rPr>
                <w:rFonts w:ascii="Calibri" w:hAnsi="Calibri" w:cs="Calibri"/>
                <w:b/>
                <w:bCs/>
                <w:lang w:val="es-EC"/>
              </w:rPr>
            </w:pPr>
            <w:r w:rsidRPr="0020009C">
              <w:rPr>
                <w:rFonts w:ascii="Calibri" w:hAnsi="Calibri" w:cs="Calibri"/>
                <w:b/>
                <w:bCs/>
                <w:lang w:val="es-EC"/>
              </w:rPr>
              <w:t>PERIODICIDAD DEL INDICADOR</w:t>
            </w:r>
          </w:p>
        </w:tc>
        <w:tc>
          <w:tcPr>
            <w:tcW w:w="2940" w:type="pct"/>
            <w:gridSpan w:val="2"/>
            <w:shd w:val="clear" w:color="auto" w:fill="auto"/>
            <w:vAlign w:val="center"/>
          </w:tcPr>
          <w:p w:rsidR="00B30908" w:rsidRPr="00B30908" w:rsidRDefault="00B30908" w:rsidP="00296D03">
            <w:r w:rsidRPr="00B30908">
              <w:rPr>
                <w:lang w:val="es-ES"/>
              </w:rPr>
              <w:t>Anual</w:t>
            </w:r>
          </w:p>
        </w:tc>
      </w:tr>
      <w:tr w:rsidR="00B30908" w:rsidRPr="0020009C" w:rsidTr="00296D03">
        <w:trPr>
          <w:trHeight w:val="340"/>
          <w:tblCellSpacing w:w="20" w:type="dxa"/>
          <w:jc w:val="center"/>
        </w:trPr>
        <w:tc>
          <w:tcPr>
            <w:tcW w:w="1998" w:type="pct"/>
            <w:gridSpan w:val="3"/>
            <w:shd w:val="clear" w:color="auto" w:fill="C6D9F1"/>
            <w:vAlign w:val="center"/>
            <w:hideMark/>
          </w:tcPr>
          <w:p w:rsidR="00B30908" w:rsidRPr="0020009C" w:rsidRDefault="00B30908" w:rsidP="00B30908">
            <w:pPr>
              <w:rPr>
                <w:rFonts w:ascii="Calibri" w:hAnsi="Calibri" w:cs="Calibri"/>
                <w:b/>
                <w:bCs/>
                <w:lang w:val="es-EC"/>
              </w:rPr>
            </w:pPr>
            <w:r w:rsidRPr="0020009C">
              <w:rPr>
                <w:rFonts w:ascii="Calibri" w:hAnsi="Calibri" w:cs="Calibri"/>
                <w:b/>
                <w:bCs/>
                <w:lang w:val="es-EC"/>
              </w:rPr>
              <w:t>DISPONIBILIDAD DE LOS DATOS</w:t>
            </w:r>
          </w:p>
        </w:tc>
        <w:tc>
          <w:tcPr>
            <w:tcW w:w="2940" w:type="pct"/>
            <w:gridSpan w:val="2"/>
            <w:shd w:val="clear" w:color="auto" w:fill="auto"/>
            <w:vAlign w:val="center"/>
          </w:tcPr>
          <w:p w:rsidR="00B30908" w:rsidRPr="00B30908" w:rsidRDefault="00B30908" w:rsidP="00296D03">
            <w:r w:rsidRPr="00B30908">
              <w:rPr>
                <w:lang w:val="es-ES"/>
              </w:rPr>
              <w:t>2013 – 2017 (datos de ronda diciembre).</w:t>
            </w:r>
          </w:p>
        </w:tc>
      </w:tr>
      <w:tr w:rsidR="00B30908" w:rsidRPr="0020009C" w:rsidTr="00296D03">
        <w:trPr>
          <w:trHeight w:val="283"/>
          <w:tblCellSpacing w:w="20" w:type="dxa"/>
          <w:jc w:val="center"/>
        </w:trPr>
        <w:tc>
          <w:tcPr>
            <w:tcW w:w="1998" w:type="pct"/>
            <w:gridSpan w:val="3"/>
            <w:tcBorders>
              <w:top w:val="outset" w:sz="6" w:space="0" w:color="auto"/>
            </w:tcBorders>
            <w:shd w:val="clear" w:color="auto" w:fill="C6D9F1"/>
            <w:vAlign w:val="center"/>
          </w:tcPr>
          <w:p w:rsidR="00B30908" w:rsidRPr="0020009C" w:rsidDel="00E3102F" w:rsidRDefault="00B30908" w:rsidP="00B30908">
            <w:pPr>
              <w:rPr>
                <w:rFonts w:ascii="Calibri" w:hAnsi="Calibri" w:cs="Calibri"/>
                <w:b/>
                <w:bCs/>
                <w:lang w:val="es-EC"/>
              </w:rPr>
            </w:pPr>
            <w:r w:rsidRPr="0020009C">
              <w:rPr>
                <w:rFonts w:ascii="Calibri" w:hAnsi="Calibri" w:cs="Calibri"/>
                <w:b/>
                <w:bCs/>
                <w:lang w:val="es-EC"/>
              </w:rPr>
              <w:t>CONSEJO SECTORIAL Y/O INSTITUCIÓN RESPONSABLE DE LA TRANSFERENCIA DE LA INFORMACIÓN</w:t>
            </w:r>
          </w:p>
        </w:tc>
        <w:tc>
          <w:tcPr>
            <w:tcW w:w="2940" w:type="pct"/>
            <w:gridSpan w:val="2"/>
            <w:shd w:val="clear" w:color="auto" w:fill="auto"/>
            <w:vAlign w:val="center"/>
          </w:tcPr>
          <w:p w:rsidR="00B30908" w:rsidRPr="00B30908" w:rsidRDefault="00B30908" w:rsidP="00296D03"/>
        </w:tc>
      </w:tr>
      <w:tr w:rsidR="00B30908" w:rsidRPr="0020009C" w:rsidTr="00296D03">
        <w:trPr>
          <w:trHeight w:val="283"/>
          <w:tblCellSpacing w:w="20" w:type="dxa"/>
          <w:jc w:val="center"/>
        </w:trPr>
        <w:tc>
          <w:tcPr>
            <w:tcW w:w="1998" w:type="pct"/>
            <w:gridSpan w:val="3"/>
            <w:tcBorders>
              <w:top w:val="outset" w:sz="6" w:space="0" w:color="auto"/>
            </w:tcBorders>
            <w:shd w:val="clear" w:color="auto" w:fill="C6D9F1"/>
            <w:vAlign w:val="center"/>
          </w:tcPr>
          <w:p w:rsidR="00B30908" w:rsidRPr="0020009C" w:rsidRDefault="00B30908" w:rsidP="00B30908">
            <w:pPr>
              <w:rPr>
                <w:rFonts w:ascii="Calibri" w:hAnsi="Calibri" w:cs="Calibri"/>
                <w:b/>
                <w:bCs/>
                <w:lang w:val="es-EC"/>
              </w:rPr>
            </w:pPr>
            <w:r w:rsidRPr="0020009C">
              <w:rPr>
                <w:rFonts w:ascii="Calibri" w:hAnsi="Calibri" w:cs="Calibri"/>
                <w:b/>
                <w:bCs/>
                <w:lang w:val="es-EC"/>
              </w:rPr>
              <w:t>FECHAS DE TRANSFERENCIA DE LA INFORMACIÓN</w:t>
            </w:r>
          </w:p>
        </w:tc>
        <w:tc>
          <w:tcPr>
            <w:tcW w:w="2940" w:type="pct"/>
            <w:gridSpan w:val="2"/>
            <w:shd w:val="clear" w:color="auto" w:fill="auto"/>
            <w:vAlign w:val="center"/>
          </w:tcPr>
          <w:p w:rsidR="00B30908" w:rsidRPr="00B30908" w:rsidRDefault="00B30908" w:rsidP="00296D03">
            <w:r w:rsidRPr="00B30908">
              <w:rPr>
                <w:rFonts w:ascii="Calibri" w:hAnsi="Calibri" w:cs="Calibri"/>
              </w:rPr>
              <w:t>Marzo del año en curso, para el reporte del año anterior.</w:t>
            </w:r>
          </w:p>
        </w:tc>
      </w:tr>
      <w:tr w:rsidR="00B30908" w:rsidRPr="0020009C" w:rsidTr="00296D03">
        <w:trPr>
          <w:trHeight w:val="283"/>
          <w:tblCellSpacing w:w="20" w:type="dxa"/>
          <w:jc w:val="center"/>
        </w:trPr>
        <w:tc>
          <w:tcPr>
            <w:tcW w:w="979" w:type="pct"/>
            <w:vMerge w:val="restart"/>
            <w:tcBorders>
              <w:top w:val="outset" w:sz="6" w:space="0" w:color="auto"/>
              <w:right w:val="outset" w:sz="6" w:space="0" w:color="auto"/>
            </w:tcBorders>
            <w:shd w:val="clear" w:color="auto" w:fill="C6D9F1"/>
            <w:vAlign w:val="center"/>
          </w:tcPr>
          <w:p w:rsidR="00B30908" w:rsidRPr="0020009C" w:rsidRDefault="00B30908" w:rsidP="00B30908">
            <w:pPr>
              <w:rPr>
                <w:rFonts w:ascii="Calibri" w:hAnsi="Calibri" w:cs="Calibri"/>
                <w:b/>
                <w:bCs/>
                <w:lang w:val="es-EC"/>
              </w:rPr>
            </w:pPr>
            <w:r w:rsidRPr="0020009C">
              <w:rPr>
                <w:rFonts w:ascii="Calibri" w:hAnsi="Calibri" w:cs="Calibri"/>
                <w:b/>
                <w:bCs/>
                <w:lang w:val="es-EC"/>
              </w:rPr>
              <w:t>NIVEL DE DESAGREGACIÓN</w:t>
            </w:r>
          </w:p>
        </w:tc>
        <w:tc>
          <w:tcPr>
            <w:tcW w:w="998" w:type="pct"/>
            <w:gridSpan w:val="2"/>
            <w:tcBorders>
              <w:top w:val="outset" w:sz="6" w:space="0" w:color="auto"/>
              <w:left w:val="outset" w:sz="6" w:space="0" w:color="auto"/>
            </w:tcBorders>
            <w:shd w:val="clear" w:color="auto" w:fill="C6D9F1"/>
            <w:vAlign w:val="center"/>
          </w:tcPr>
          <w:p w:rsidR="00B30908" w:rsidRPr="006A47A7" w:rsidRDefault="00B30908" w:rsidP="00B30908">
            <w:pPr>
              <w:jc w:val="both"/>
              <w:rPr>
                <w:rFonts w:ascii="Arial" w:hAnsi="Arial"/>
                <w:sz w:val="20"/>
                <w:szCs w:val="20"/>
              </w:rPr>
            </w:pPr>
            <w:r>
              <w:rPr>
                <w:sz w:val="20"/>
                <w:szCs w:val="20"/>
                <w:lang w:val="es-ES"/>
              </w:rPr>
              <w:t>Geográfico</w:t>
            </w:r>
          </w:p>
        </w:tc>
        <w:tc>
          <w:tcPr>
            <w:tcW w:w="2940" w:type="pct"/>
            <w:gridSpan w:val="2"/>
            <w:shd w:val="clear" w:color="auto" w:fill="auto"/>
            <w:vAlign w:val="center"/>
          </w:tcPr>
          <w:p w:rsidR="00B30908" w:rsidRPr="00B30908" w:rsidRDefault="00B30908" w:rsidP="00296D03">
            <w:r w:rsidRPr="00B30908">
              <w:rPr>
                <w:rFonts w:ascii="Calibri" w:hAnsi="Calibri" w:cs="Calibri"/>
                <w:lang w:val="es-ES"/>
              </w:rPr>
              <w:t>País, Urbano/Rural, Región Natural, Zonas de planificación, Provincial.</w:t>
            </w:r>
          </w:p>
        </w:tc>
      </w:tr>
      <w:tr w:rsidR="00B30908" w:rsidRPr="0020009C" w:rsidTr="00296D03">
        <w:trPr>
          <w:trHeight w:val="283"/>
          <w:tblCellSpacing w:w="20" w:type="dxa"/>
          <w:jc w:val="center"/>
        </w:trPr>
        <w:tc>
          <w:tcPr>
            <w:tcW w:w="979" w:type="pct"/>
            <w:vMerge/>
            <w:tcBorders>
              <w:right w:val="outset" w:sz="6" w:space="0" w:color="auto"/>
            </w:tcBorders>
            <w:shd w:val="clear" w:color="auto" w:fill="C6D9F1"/>
            <w:vAlign w:val="center"/>
          </w:tcPr>
          <w:p w:rsidR="00B30908" w:rsidRPr="0020009C" w:rsidRDefault="00B30908" w:rsidP="00B30908">
            <w:pPr>
              <w:rPr>
                <w:rFonts w:ascii="Calibri" w:hAnsi="Calibri" w:cs="Calibri"/>
                <w:b/>
                <w:bCs/>
                <w:lang w:val="es-EC"/>
              </w:rPr>
            </w:pPr>
          </w:p>
        </w:tc>
        <w:tc>
          <w:tcPr>
            <w:tcW w:w="998" w:type="pct"/>
            <w:gridSpan w:val="2"/>
            <w:tcBorders>
              <w:left w:val="outset" w:sz="6" w:space="0" w:color="auto"/>
            </w:tcBorders>
            <w:shd w:val="clear" w:color="auto" w:fill="C6D9F1"/>
            <w:vAlign w:val="center"/>
          </w:tcPr>
          <w:p w:rsidR="00B30908" w:rsidRPr="006A47A7" w:rsidRDefault="00B30908" w:rsidP="00B30908">
            <w:pPr>
              <w:jc w:val="both"/>
              <w:rPr>
                <w:rFonts w:ascii="Arial" w:hAnsi="Arial"/>
                <w:sz w:val="20"/>
                <w:szCs w:val="20"/>
              </w:rPr>
            </w:pPr>
            <w:r>
              <w:rPr>
                <w:sz w:val="20"/>
                <w:szCs w:val="20"/>
              </w:rPr>
              <w:t>General</w:t>
            </w:r>
          </w:p>
        </w:tc>
        <w:tc>
          <w:tcPr>
            <w:tcW w:w="2940" w:type="pct"/>
            <w:gridSpan w:val="2"/>
            <w:shd w:val="clear" w:color="auto" w:fill="auto"/>
            <w:vAlign w:val="center"/>
          </w:tcPr>
          <w:p w:rsidR="00B30908" w:rsidRPr="00B30908" w:rsidRDefault="00B30908" w:rsidP="00296D03">
            <w:r w:rsidRPr="00B30908">
              <w:rPr>
                <w:lang w:val="es-ES"/>
              </w:rPr>
              <w:t>Sexo, grupos de edad, etnia.</w:t>
            </w:r>
          </w:p>
        </w:tc>
      </w:tr>
      <w:tr w:rsidR="00B30908" w:rsidRPr="0020009C" w:rsidTr="00296D03">
        <w:trPr>
          <w:trHeight w:val="283"/>
          <w:tblCellSpacing w:w="20" w:type="dxa"/>
          <w:jc w:val="center"/>
        </w:trPr>
        <w:tc>
          <w:tcPr>
            <w:tcW w:w="979" w:type="pct"/>
            <w:vMerge/>
            <w:tcBorders>
              <w:bottom w:val="outset" w:sz="6" w:space="0" w:color="auto"/>
              <w:right w:val="outset" w:sz="6" w:space="0" w:color="auto"/>
            </w:tcBorders>
            <w:shd w:val="clear" w:color="auto" w:fill="C6D9F1"/>
            <w:vAlign w:val="center"/>
          </w:tcPr>
          <w:p w:rsidR="00B30908" w:rsidRPr="0020009C" w:rsidRDefault="00B30908" w:rsidP="00B30908">
            <w:pPr>
              <w:rPr>
                <w:rFonts w:ascii="Calibri" w:hAnsi="Calibri" w:cs="Calibri"/>
                <w:b/>
                <w:bCs/>
                <w:lang w:val="es-EC"/>
              </w:rPr>
            </w:pPr>
          </w:p>
        </w:tc>
        <w:tc>
          <w:tcPr>
            <w:tcW w:w="998" w:type="pct"/>
            <w:gridSpan w:val="2"/>
            <w:tcBorders>
              <w:left w:val="outset" w:sz="6" w:space="0" w:color="auto"/>
              <w:bottom w:val="outset" w:sz="6" w:space="0" w:color="auto"/>
            </w:tcBorders>
            <w:shd w:val="clear" w:color="auto" w:fill="C6D9F1"/>
            <w:vAlign w:val="center"/>
          </w:tcPr>
          <w:p w:rsidR="00B30908" w:rsidRPr="006A47A7" w:rsidRDefault="00B30908" w:rsidP="00B30908">
            <w:pPr>
              <w:jc w:val="both"/>
              <w:rPr>
                <w:rFonts w:ascii="Arial" w:hAnsi="Arial"/>
                <w:sz w:val="20"/>
                <w:szCs w:val="20"/>
              </w:rPr>
            </w:pPr>
            <w:r>
              <w:rPr>
                <w:sz w:val="20"/>
                <w:szCs w:val="20"/>
              </w:rPr>
              <w:t>Otros Ámbitos</w:t>
            </w:r>
          </w:p>
        </w:tc>
        <w:tc>
          <w:tcPr>
            <w:tcW w:w="2940" w:type="pct"/>
            <w:gridSpan w:val="2"/>
            <w:shd w:val="clear" w:color="auto" w:fill="auto"/>
            <w:vAlign w:val="center"/>
          </w:tcPr>
          <w:p w:rsidR="00B30908" w:rsidRPr="00B30908" w:rsidRDefault="00B30908" w:rsidP="00296D03">
            <w:r w:rsidRPr="00B30908">
              <w:t>No aplica</w:t>
            </w:r>
          </w:p>
        </w:tc>
      </w:tr>
      <w:tr w:rsidR="00B30908" w:rsidRPr="0020009C" w:rsidTr="00296D03">
        <w:trPr>
          <w:trHeight w:val="340"/>
          <w:tblCellSpacing w:w="20" w:type="dxa"/>
          <w:jc w:val="center"/>
        </w:trPr>
        <w:tc>
          <w:tcPr>
            <w:tcW w:w="1998" w:type="pct"/>
            <w:gridSpan w:val="3"/>
            <w:shd w:val="clear" w:color="auto" w:fill="C6D9F1"/>
            <w:vAlign w:val="center"/>
            <w:hideMark/>
          </w:tcPr>
          <w:p w:rsidR="00B30908" w:rsidRPr="0020009C" w:rsidRDefault="00B30908" w:rsidP="00B30908">
            <w:pPr>
              <w:rPr>
                <w:rFonts w:ascii="Calibri" w:hAnsi="Calibri" w:cs="Calibri"/>
                <w:b/>
                <w:bCs/>
                <w:lang w:val="es-EC"/>
              </w:rPr>
            </w:pPr>
            <w:r w:rsidRPr="0020009C">
              <w:rPr>
                <w:rFonts w:ascii="Calibri" w:hAnsi="Calibri" w:cs="Calibri"/>
                <w:b/>
                <w:bCs/>
                <w:lang w:val="es-EC"/>
              </w:rPr>
              <w:t>INFORMACIÓN GEO – REFERENCIADA</w:t>
            </w:r>
          </w:p>
        </w:tc>
        <w:tc>
          <w:tcPr>
            <w:tcW w:w="2940" w:type="pct"/>
            <w:gridSpan w:val="2"/>
            <w:shd w:val="clear" w:color="auto" w:fill="auto"/>
            <w:vAlign w:val="center"/>
          </w:tcPr>
          <w:p w:rsidR="00B30908" w:rsidRPr="00296D03" w:rsidRDefault="00296D03" w:rsidP="00296D03">
            <w:r w:rsidRPr="00296D03">
              <w:t>Coordenadas geográficas</w:t>
            </w:r>
          </w:p>
        </w:tc>
      </w:tr>
      <w:tr w:rsidR="00B30908" w:rsidRPr="0020009C" w:rsidTr="00296D03">
        <w:trPr>
          <w:trHeight w:val="510"/>
          <w:tblCellSpacing w:w="20" w:type="dxa"/>
          <w:jc w:val="center"/>
        </w:trPr>
        <w:tc>
          <w:tcPr>
            <w:tcW w:w="1998" w:type="pct"/>
            <w:gridSpan w:val="3"/>
            <w:shd w:val="clear" w:color="auto" w:fill="C6D9F1"/>
            <w:vAlign w:val="center"/>
            <w:hideMark/>
          </w:tcPr>
          <w:p w:rsidR="00B30908" w:rsidRPr="0020009C" w:rsidRDefault="00B30908" w:rsidP="00B30908">
            <w:pPr>
              <w:rPr>
                <w:rFonts w:ascii="Calibri" w:hAnsi="Calibri" w:cs="Calibri"/>
                <w:b/>
                <w:bCs/>
                <w:lang w:val="es-EC"/>
              </w:rPr>
            </w:pPr>
            <w:r w:rsidRPr="0020009C">
              <w:rPr>
                <w:rFonts w:ascii="Calibri" w:hAnsi="Calibri" w:cs="Calibri"/>
                <w:b/>
                <w:bCs/>
                <w:lang w:val="es-EC"/>
              </w:rPr>
              <w:t>RELACIÓN CON INSTRUMENTOS DE PLANIFICACIÓN NACIONAL E INTERNACIONAL</w:t>
            </w:r>
          </w:p>
        </w:tc>
        <w:tc>
          <w:tcPr>
            <w:tcW w:w="2940" w:type="pct"/>
            <w:gridSpan w:val="2"/>
            <w:shd w:val="clear" w:color="auto" w:fill="auto"/>
            <w:vAlign w:val="center"/>
          </w:tcPr>
          <w:p w:rsidR="00296D03" w:rsidRDefault="00296D03" w:rsidP="00296D03">
            <w:pPr>
              <w:rPr>
                <w:rFonts w:ascii="Arial" w:hAnsi="Arial"/>
                <w:u w:val="single"/>
              </w:rPr>
            </w:pPr>
          </w:p>
          <w:p w:rsidR="00296D03" w:rsidRPr="00296D03" w:rsidRDefault="00296D03" w:rsidP="00296D03">
            <w:pPr>
              <w:rPr>
                <w:rFonts w:ascii="Calibri" w:hAnsi="Calibri" w:cs="Calibri"/>
                <w:u w:val="single"/>
              </w:rPr>
            </w:pPr>
            <w:r w:rsidRPr="00296D03">
              <w:rPr>
                <w:rFonts w:ascii="Calibri" w:hAnsi="Calibri" w:cs="Calibri"/>
                <w:u w:val="single"/>
              </w:rPr>
              <w:t>Plan Nacional para el Buen Vivir 2013 - 2017</w:t>
            </w:r>
          </w:p>
          <w:p w:rsidR="00296D03" w:rsidRPr="00296D03" w:rsidRDefault="00296D03" w:rsidP="00296D03">
            <w:pPr>
              <w:rPr>
                <w:rFonts w:ascii="Calibri" w:hAnsi="Calibri" w:cs="Calibri"/>
                <w:color w:val="000000"/>
              </w:rPr>
            </w:pPr>
          </w:p>
          <w:p w:rsidR="00296D03" w:rsidRPr="00296D03" w:rsidRDefault="00296D03" w:rsidP="00296D03">
            <w:pPr>
              <w:rPr>
                <w:rFonts w:ascii="Calibri" w:hAnsi="Calibri" w:cs="Calibri"/>
                <w:color w:val="000000"/>
              </w:rPr>
            </w:pPr>
            <w:r w:rsidRPr="00296D03">
              <w:rPr>
                <w:rFonts w:ascii="Calibri" w:hAnsi="Calibri" w:cs="Calibri"/>
                <w:i/>
                <w:color w:val="000000"/>
              </w:rPr>
              <w:t>Objetivo 7:</w:t>
            </w:r>
            <w:r w:rsidRPr="00296D03">
              <w:rPr>
                <w:rFonts w:ascii="Calibri" w:hAnsi="Calibri" w:cs="Calibri"/>
                <w:color w:val="000000"/>
              </w:rPr>
              <w:t xml:space="preserve"> Garantizar los derechos de la naturaleza y promover la sostenibilidad ambiental territorial y global</w:t>
            </w:r>
          </w:p>
          <w:p w:rsidR="00296D03" w:rsidRPr="00296D03" w:rsidRDefault="00296D03" w:rsidP="00296D03">
            <w:pPr>
              <w:rPr>
                <w:rFonts w:ascii="Calibri" w:eastAsia="Calibri" w:hAnsi="Calibri" w:cs="Calibri"/>
                <w:lang w:eastAsia="en-US"/>
              </w:rPr>
            </w:pPr>
            <w:r w:rsidRPr="00296D03">
              <w:rPr>
                <w:rFonts w:ascii="Calibri" w:hAnsi="Calibri" w:cs="Calibri"/>
                <w:i/>
                <w:color w:val="000000"/>
              </w:rPr>
              <w:t xml:space="preserve">                  Política </w:t>
            </w:r>
            <w:r w:rsidRPr="00296D03">
              <w:rPr>
                <w:rFonts w:ascii="Calibri" w:eastAsia="Calibri" w:hAnsi="Calibri" w:cs="Calibri"/>
                <w:lang w:eastAsia="en-US"/>
              </w:rPr>
              <w:t xml:space="preserve">7.9. Promover patrones de consumo                         </w:t>
            </w:r>
          </w:p>
          <w:p w:rsidR="00296D03" w:rsidRPr="00296D03" w:rsidRDefault="00296D03" w:rsidP="00296D03">
            <w:pPr>
              <w:rPr>
                <w:rFonts w:ascii="Calibri" w:eastAsia="Calibri" w:hAnsi="Calibri" w:cs="Calibri"/>
                <w:lang w:eastAsia="en-US"/>
              </w:rPr>
            </w:pPr>
            <w:r w:rsidRPr="00296D03">
              <w:rPr>
                <w:rFonts w:ascii="Calibri" w:eastAsia="Calibri" w:hAnsi="Calibri" w:cs="Calibri"/>
                <w:lang w:eastAsia="en-US"/>
              </w:rPr>
              <w:t xml:space="preserve">                  conscientes, sostenibles y eficientes con criterio de </w:t>
            </w:r>
          </w:p>
          <w:p w:rsidR="00296D03" w:rsidRPr="00296D03" w:rsidRDefault="00296D03" w:rsidP="00296D03">
            <w:pPr>
              <w:rPr>
                <w:rFonts w:ascii="Calibri" w:hAnsi="Calibri" w:cs="Calibri"/>
              </w:rPr>
            </w:pPr>
            <w:r w:rsidRPr="00296D03">
              <w:rPr>
                <w:rFonts w:ascii="Calibri" w:eastAsia="Calibri" w:hAnsi="Calibri" w:cs="Calibri"/>
                <w:lang w:eastAsia="en-US"/>
              </w:rPr>
              <w:t xml:space="preserve">                  suficiencia dentro de los límites del planeta</w:t>
            </w:r>
          </w:p>
          <w:p w:rsidR="00296D03" w:rsidRPr="00296D03" w:rsidRDefault="00296D03" w:rsidP="00296D03">
            <w:pPr>
              <w:rPr>
                <w:rFonts w:ascii="Calibri" w:hAnsi="Calibri" w:cs="Calibri"/>
                <w:u w:val="single"/>
              </w:rPr>
            </w:pPr>
            <w:r w:rsidRPr="00296D03">
              <w:rPr>
                <w:rFonts w:ascii="Calibri" w:hAnsi="Calibri" w:cs="Calibri"/>
                <w:u w:val="single"/>
              </w:rPr>
              <w:t>Política Ambiental Nacional</w:t>
            </w:r>
          </w:p>
          <w:p w:rsidR="00296D03" w:rsidRPr="00296D03" w:rsidRDefault="00296D03" w:rsidP="00296D03">
            <w:pPr>
              <w:rPr>
                <w:rFonts w:ascii="Calibri" w:hAnsi="Calibri" w:cs="Calibri"/>
                <w:i/>
                <w:color w:val="000000"/>
              </w:rPr>
            </w:pPr>
          </w:p>
          <w:p w:rsidR="00296D03" w:rsidRPr="00296D03" w:rsidRDefault="00296D03" w:rsidP="00296D03">
            <w:pPr>
              <w:rPr>
                <w:rFonts w:ascii="Calibri" w:hAnsi="Calibri" w:cs="Calibri"/>
              </w:rPr>
            </w:pPr>
            <w:r w:rsidRPr="00296D03">
              <w:rPr>
                <w:rFonts w:ascii="Calibri" w:hAnsi="Calibri" w:cs="Calibri"/>
                <w:i/>
                <w:color w:val="000000"/>
              </w:rPr>
              <w:lastRenderedPageBreak/>
              <w:t>Política</w:t>
            </w:r>
            <w:r w:rsidRPr="00296D03">
              <w:rPr>
                <w:rFonts w:ascii="Calibri" w:hAnsi="Calibri" w:cs="Calibri"/>
                <w:i/>
                <w:lang w:val="es-ES"/>
              </w:rPr>
              <w:t xml:space="preserve"> 4:</w:t>
            </w:r>
            <w:r w:rsidRPr="00296D03">
              <w:rPr>
                <w:rFonts w:ascii="Calibri" w:hAnsi="Calibri" w:cs="Calibri"/>
                <w:lang w:val="es-ES"/>
              </w:rPr>
              <w:t xml:space="preserve"> </w:t>
            </w:r>
            <w:r w:rsidRPr="00296D03">
              <w:rPr>
                <w:rFonts w:ascii="Calibri" w:hAnsi="Calibri" w:cs="Calibri"/>
              </w:rPr>
              <w:t>Prevenir y controlar la contaminación ambiental para mejorar la calidad de vida.</w:t>
            </w:r>
          </w:p>
          <w:p w:rsidR="00296D03" w:rsidRPr="00296D03" w:rsidRDefault="00296D03" w:rsidP="00296D03">
            <w:pPr>
              <w:rPr>
                <w:rFonts w:ascii="Calibri" w:hAnsi="Calibri" w:cs="Calibri"/>
                <w:i/>
              </w:rPr>
            </w:pPr>
          </w:p>
          <w:p w:rsidR="00296D03" w:rsidRPr="00296D03" w:rsidRDefault="00296D03" w:rsidP="00296D03">
            <w:pPr>
              <w:rPr>
                <w:rFonts w:ascii="Calibri" w:hAnsi="Calibri" w:cs="Calibri"/>
              </w:rPr>
            </w:pPr>
            <w:r w:rsidRPr="00296D03">
              <w:rPr>
                <w:rFonts w:ascii="Calibri" w:hAnsi="Calibri" w:cs="Calibri"/>
                <w:i/>
              </w:rPr>
              <w:t>Estrategia</w:t>
            </w:r>
            <w:r w:rsidRPr="00296D03">
              <w:rPr>
                <w:rFonts w:ascii="Calibri" w:hAnsi="Calibri" w:cs="Calibri"/>
                <w:i/>
                <w:lang w:val="es-ES"/>
              </w:rPr>
              <w:t xml:space="preserve"> 2:</w:t>
            </w:r>
            <w:r w:rsidRPr="00296D03">
              <w:rPr>
                <w:rFonts w:ascii="Calibri" w:hAnsi="Calibri" w:cs="Calibri"/>
                <w:lang w:val="es-ES"/>
              </w:rPr>
              <w:t xml:space="preserve"> Manejar integralmente los desechos y residuos</w:t>
            </w:r>
            <w:r w:rsidRPr="00296D03">
              <w:rPr>
                <w:rFonts w:ascii="Calibri" w:hAnsi="Calibri" w:cs="Calibri"/>
              </w:rPr>
              <w:t>.</w:t>
            </w:r>
          </w:p>
          <w:p w:rsidR="00296D03" w:rsidRPr="00296D03" w:rsidRDefault="00296D03" w:rsidP="00296D03">
            <w:pPr>
              <w:rPr>
                <w:rFonts w:ascii="Calibri" w:hAnsi="Calibri" w:cs="Calibri"/>
                <w:color w:val="000000"/>
                <w:lang w:val="es-ES"/>
              </w:rPr>
            </w:pPr>
          </w:p>
          <w:p w:rsidR="00296D03" w:rsidRPr="00296D03" w:rsidRDefault="00296D03" w:rsidP="00296D03">
            <w:pPr>
              <w:rPr>
                <w:rFonts w:ascii="Calibri" w:hAnsi="Calibri" w:cs="Calibri"/>
                <w:color w:val="000000"/>
                <w:u w:val="single"/>
                <w:lang w:val="es-ES"/>
              </w:rPr>
            </w:pPr>
            <w:r w:rsidRPr="00296D03">
              <w:rPr>
                <w:rFonts w:ascii="Calibri" w:hAnsi="Calibri" w:cs="Calibri"/>
                <w:color w:val="000000"/>
                <w:u w:val="single"/>
                <w:lang w:val="es-ES"/>
              </w:rPr>
              <w:t>Sistema Nacional de Indicadores Ambientales SNIA</w:t>
            </w:r>
          </w:p>
          <w:p w:rsidR="00296D03" w:rsidRPr="00296D03" w:rsidRDefault="00296D03" w:rsidP="00296D03">
            <w:pPr>
              <w:rPr>
                <w:rFonts w:ascii="Calibri" w:hAnsi="Calibri" w:cs="Calibri"/>
                <w:color w:val="000000"/>
                <w:lang w:val="es-ES"/>
              </w:rPr>
            </w:pPr>
          </w:p>
          <w:p w:rsidR="00296D03" w:rsidRPr="00296D03" w:rsidRDefault="00296D03" w:rsidP="00296D03">
            <w:pPr>
              <w:rPr>
                <w:rFonts w:ascii="Calibri" w:hAnsi="Calibri" w:cs="Calibri"/>
                <w:color w:val="000000"/>
                <w:lang w:val="es-ES"/>
              </w:rPr>
            </w:pPr>
            <w:r w:rsidRPr="00296D03">
              <w:rPr>
                <w:rFonts w:ascii="Calibri" w:hAnsi="Calibri" w:cs="Calibri"/>
                <w:color w:val="000000"/>
                <w:lang w:val="es-ES"/>
              </w:rPr>
              <w:t>Clasificación por temas y subtemas:</w:t>
            </w:r>
          </w:p>
          <w:p w:rsidR="00296D03" w:rsidRPr="00296D03" w:rsidRDefault="00296D03" w:rsidP="00296D03">
            <w:pPr>
              <w:rPr>
                <w:rFonts w:ascii="Calibri" w:hAnsi="Calibri" w:cs="Calibri"/>
                <w:color w:val="000000"/>
                <w:lang w:val="es-ES"/>
              </w:rPr>
            </w:pPr>
          </w:p>
          <w:p w:rsidR="00296D03" w:rsidRPr="00296D03" w:rsidRDefault="00296D03" w:rsidP="00296D03">
            <w:pPr>
              <w:rPr>
                <w:rFonts w:ascii="Calibri" w:hAnsi="Calibri" w:cs="Calibri"/>
                <w:color w:val="000000"/>
                <w:lang w:val="es-ES"/>
              </w:rPr>
            </w:pPr>
            <w:r w:rsidRPr="00296D03">
              <w:rPr>
                <w:rFonts w:ascii="Calibri" w:hAnsi="Calibri" w:cs="Calibri"/>
                <w:color w:val="000000"/>
                <w:lang w:val="es-ES"/>
              </w:rPr>
              <w:t>Recursos o Temáticas Ambientales</w:t>
            </w:r>
          </w:p>
          <w:p w:rsidR="00296D03" w:rsidRPr="00296D03" w:rsidRDefault="00296D03" w:rsidP="00296D03">
            <w:pPr>
              <w:rPr>
                <w:rFonts w:ascii="Calibri" w:hAnsi="Calibri" w:cs="Calibri"/>
                <w:color w:val="000000"/>
                <w:lang w:val="es-ES"/>
              </w:rPr>
            </w:pPr>
            <w:r w:rsidRPr="00296D03">
              <w:rPr>
                <w:rFonts w:ascii="Calibri" w:hAnsi="Calibri" w:cs="Calibri"/>
                <w:color w:val="000000"/>
                <w:lang w:val="es-ES"/>
              </w:rPr>
              <w:t xml:space="preserve">Dinámica </w:t>
            </w:r>
            <w:proofErr w:type="spellStart"/>
            <w:r w:rsidRPr="00296D03">
              <w:rPr>
                <w:rFonts w:ascii="Calibri" w:hAnsi="Calibri" w:cs="Calibri"/>
                <w:color w:val="000000"/>
                <w:lang w:val="es-ES"/>
              </w:rPr>
              <w:t>Socioambiental</w:t>
            </w:r>
            <w:proofErr w:type="spellEnd"/>
            <w:r w:rsidRPr="00296D03">
              <w:rPr>
                <w:rFonts w:ascii="Calibri" w:hAnsi="Calibri" w:cs="Calibri"/>
                <w:color w:val="000000"/>
                <w:lang w:val="es-ES"/>
              </w:rPr>
              <w:t xml:space="preserve"> (Modelo Ordenador Presión – Estado – Respuesta PER)</w:t>
            </w:r>
          </w:p>
          <w:p w:rsidR="00296D03" w:rsidRPr="00296D03" w:rsidRDefault="00296D03" w:rsidP="00296D03">
            <w:pPr>
              <w:rPr>
                <w:rFonts w:ascii="Calibri" w:hAnsi="Calibri" w:cs="Calibri"/>
                <w:i/>
                <w:color w:val="000000"/>
                <w:lang w:val="es-ES"/>
              </w:rPr>
            </w:pPr>
            <w:r w:rsidRPr="00296D03">
              <w:rPr>
                <w:rFonts w:ascii="Calibri" w:hAnsi="Calibri" w:cs="Calibri"/>
                <w:i/>
                <w:color w:val="000000"/>
                <w:lang w:val="es-ES"/>
              </w:rPr>
              <w:t>Respuesta</w:t>
            </w:r>
          </w:p>
          <w:p w:rsidR="00296D03" w:rsidRPr="00296D03" w:rsidRDefault="00296D03" w:rsidP="00296D03">
            <w:pPr>
              <w:rPr>
                <w:rFonts w:ascii="Calibri" w:hAnsi="Calibri" w:cs="Calibri"/>
                <w:color w:val="000000"/>
                <w:lang w:val="es-ES"/>
              </w:rPr>
            </w:pPr>
          </w:p>
          <w:p w:rsidR="00296D03" w:rsidRPr="00296D03" w:rsidRDefault="00296D03" w:rsidP="00296D03">
            <w:pPr>
              <w:rPr>
                <w:rFonts w:ascii="Calibri" w:hAnsi="Calibri" w:cs="Calibri"/>
                <w:color w:val="000000"/>
                <w:lang w:val="es-ES"/>
              </w:rPr>
            </w:pPr>
            <w:r w:rsidRPr="00296D03">
              <w:rPr>
                <w:rFonts w:ascii="Calibri" w:hAnsi="Calibri" w:cs="Calibri"/>
                <w:color w:val="000000"/>
                <w:lang w:val="es-ES"/>
              </w:rPr>
              <w:t>Indicadores alineados al Plan Nacional del Buen Vivir</w:t>
            </w:r>
          </w:p>
          <w:p w:rsidR="00296D03" w:rsidRPr="00296D03" w:rsidRDefault="00296D03" w:rsidP="00296D03">
            <w:pPr>
              <w:rPr>
                <w:rFonts w:ascii="Calibri" w:hAnsi="Calibri" w:cs="Calibri"/>
                <w:i/>
                <w:color w:val="000000"/>
                <w:lang w:val="es-ES"/>
              </w:rPr>
            </w:pPr>
            <w:r w:rsidRPr="00296D03">
              <w:rPr>
                <w:rFonts w:ascii="Calibri" w:hAnsi="Calibri" w:cs="Calibri"/>
                <w:i/>
                <w:color w:val="000000"/>
                <w:lang w:val="es-ES"/>
              </w:rPr>
              <w:t>Indicadores Meta</w:t>
            </w:r>
          </w:p>
          <w:p w:rsidR="00296D03" w:rsidRPr="00296D03" w:rsidRDefault="00296D03" w:rsidP="00296D03">
            <w:pPr>
              <w:rPr>
                <w:rFonts w:ascii="Calibri" w:hAnsi="Calibri" w:cs="Calibri"/>
                <w:color w:val="000000"/>
                <w:lang w:val="es-ES"/>
              </w:rPr>
            </w:pPr>
          </w:p>
          <w:p w:rsidR="00296D03" w:rsidRPr="00296D03" w:rsidRDefault="00296D03" w:rsidP="00296D03">
            <w:pPr>
              <w:rPr>
                <w:rFonts w:ascii="Calibri" w:hAnsi="Calibri" w:cs="Calibri"/>
                <w:color w:val="000000"/>
                <w:lang w:val="es-ES"/>
              </w:rPr>
            </w:pPr>
            <w:r w:rsidRPr="00296D03">
              <w:rPr>
                <w:rFonts w:ascii="Calibri" w:hAnsi="Calibri" w:cs="Calibri"/>
                <w:color w:val="000000"/>
                <w:lang w:val="es-ES"/>
              </w:rPr>
              <w:t>Líneas de Gestión</w:t>
            </w:r>
          </w:p>
          <w:p w:rsidR="00B30908" w:rsidRPr="00296D03" w:rsidRDefault="00296D03" w:rsidP="00296D03">
            <w:pPr>
              <w:rPr>
                <w:rFonts w:ascii="Calibri" w:hAnsi="Calibri" w:cs="Calibri"/>
                <w:i/>
                <w:color w:val="000000"/>
                <w:lang w:val="es-ES"/>
              </w:rPr>
            </w:pPr>
            <w:r w:rsidRPr="00296D03">
              <w:rPr>
                <w:rFonts w:ascii="Calibri" w:hAnsi="Calibri" w:cs="Calibri"/>
                <w:i/>
                <w:color w:val="000000"/>
                <w:lang w:val="es-ES"/>
              </w:rPr>
              <w:t>Coordinación General de Planificación Ambiental</w:t>
            </w:r>
          </w:p>
        </w:tc>
      </w:tr>
      <w:tr w:rsidR="00296D03" w:rsidRPr="0020009C" w:rsidTr="00296D03">
        <w:trPr>
          <w:trHeight w:val="510"/>
          <w:tblCellSpacing w:w="20" w:type="dxa"/>
          <w:jc w:val="center"/>
        </w:trPr>
        <w:tc>
          <w:tcPr>
            <w:tcW w:w="1998" w:type="pct"/>
            <w:gridSpan w:val="3"/>
            <w:shd w:val="clear" w:color="auto" w:fill="C6D9F1"/>
            <w:vAlign w:val="center"/>
          </w:tcPr>
          <w:p w:rsidR="00296D03" w:rsidRPr="0020009C" w:rsidRDefault="00296D03" w:rsidP="00296D03">
            <w:pPr>
              <w:rPr>
                <w:rFonts w:ascii="Calibri" w:hAnsi="Calibri" w:cs="Calibri"/>
                <w:b/>
                <w:bCs/>
                <w:lang w:val="es-EC"/>
              </w:rPr>
            </w:pPr>
            <w:r w:rsidRPr="0020009C">
              <w:rPr>
                <w:rFonts w:ascii="Calibri" w:hAnsi="Calibri" w:cs="Calibri"/>
                <w:b/>
                <w:bCs/>
                <w:lang w:val="es-EC"/>
              </w:rPr>
              <w:lastRenderedPageBreak/>
              <w:t>REFERENCIAS BIBLIOGRÁFICAS DE LA CONSTRUCCIÓN DEL INDICADOR</w:t>
            </w:r>
          </w:p>
        </w:tc>
        <w:tc>
          <w:tcPr>
            <w:tcW w:w="2940" w:type="pct"/>
            <w:gridSpan w:val="2"/>
            <w:shd w:val="clear" w:color="auto" w:fill="auto"/>
            <w:vAlign w:val="center"/>
          </w:tcPr>
          <w:p w:rsidR="00296D03" w:rsidRPr="00296D03" w:rsidRDefault="00296D03" w:rsidP="00296D03"/>
          <w:p w:rsidR="00296D03" w:rsidRPr="00296D03" w:rsidRDefault="00296D03" w:rsidP="00296D03">
            <w:r w:rsidRPr="00296D03">
              <w:t>Instituto Nacional de Estadística y Censos (INEC). 2009. Glosario de Buenas Prácticas Ambientales. Recuperado de a</w:t>
            </w:r>
            <w:r w:rsidRPr="00296D03">
              <w:rPr>
                <w:rStyle w:val="CitaHTML"/>
                <w:rFonts w:cstheme="minorHAnsi"/>
                <w:sz w:val="20"/>
                <w:szCs w:val="20"/>
              </w:rPr>
              <w:t>nda.inec.gob.ec/anda/</w:t>
            </w:r>
            <w:proofErr w:type="spellStart"/>
            <w:r w:rsidRPr="00296D03">
              <w:rPr>
                <w:rStyle w:val="CitaHTML"/>
                <w:rFonts w:cstheme="minorHAnsi"/>
                <w:sz w:val="20"/>
                <w:szCs w:val="20"/>
              </w:rPr>
              <w:t>index.php</w:t>
            </w:r>
            <w:proofErr w:type="spellEnd"/>
            <w:r w:rsidRPr="00296D03">
              <w:rPr>
                <w:rStyle w:val="CitaHTML"/>
                <w:rFonts w:cstheme="minorHAnsi"/>
                <w:sz w:val="20"/>
                <w:szCs w:val="20"/>
              </w:rPr>
              <w:t>/</w:t>
            </w:r>
            <w:proofErr w:type="spellStart"/>
            <w:r w:rsidRPr="00296D03">
              <w:rPr>
                <w:rStyle w:val="CitaHTML"/>
                <w:rFonts w:cstheme="minorHAnsi"/>
                <w:sz w:val="20"/>
                <w:szCs w:val="20"/>
              </w:rPr>
              <w:t>catalog</w:t>
            </w:r>
            <w:proofErr w:type="spellEnd"/>
            <w:r w:rsidRPr="00296D03">
              <w:rPr>
                <w:rStyle w:val="CitaHTML"/>
                <w:rFonts w:cstheme="minorHAnsi"/>
                <w:sz w:val="20"/>
                <w:szCs w:val="20"/>
              </w:rPr>
              <w:t>/235/</w:t>
            </w:r>
            <w:proofErr w:type="spellStart"/>
            <w:r w:rsidRPr="00296D03">
              <w:rPr>
                <w:rStyle w:val="CitaHTML"/>
                <w:rFonts w:cstheme="minorHAnsi"/>
                <w:sz w:val="20"/>
                <w:szCs w:val="20"/>
              </w:rPr>
              <w:t>download</w:t>
            </w:r>
            <w:proofErr w:type="spellEnd"/>
            <w:r w:rsidRPr="00296D03">
              <w:rPr>
                <w:rStyle w:val="CitaHTML"/>
                <w:rFonts w:cstheme="minorHAnsi"/>
                <w:sz w:val="20"/>
                <w:szCs w:val="20"/>
              </w:rPr>
              <w:t>/4552</w:t>
            </w:r>
          </w:p>
          <w:p w:rsidR="00296D03" w:rsidRPr="00296D03" w:rsidRDefault="00296D03" w:rsidP="00296D03"/>
          <w:p w:rsidR="00296D03" w:rsidRPr="00296D03" w:rsidRDefault="00296D03" w:rsidP="00296D03">
            <w:pPr>
              <w:rPr>
                <w:rFonts w:ascii="Arial" w:hAnsi="Arial"/>
                <w:i/>
                <w:iCs/>
              </w:rPr>
            </w:pPr>
            <w:r w:rsidRPr="00296D03">
              <w:t>Instituto Nacional de Estadística y Censos (INEC). 2016. Documento técnico</w:t>
            </w:r>
            <w:r w:rsidRPr="00296D03">
              <w:rPr>
                <w:rStyle w:val="CitaHTML"/>
                <w:rFonts w:cstheme="minorHAnsi"/>
                <w:sz w:val="20"/>
                <w:szCs w:val="20"/>
              </w:rPr>
              <w:t xml:space="preserve">. </w:t>
            </w:r>
            <w:r w:rsidRPr="00296D03">
              <w:rPr>
                <w:rStyle w:val="CitaHTML"/>
                <w:rFonts w:cstheme="minorHAnsi"/>
                <w:i w:val="0"/>
                <w:sz w:val="20"/>
                <w:szCs w:val="20"/>
              </w:rPr>
              <w:t xml:space="preserve">Recuperado de </w:t>
            </w:r>
            <w:r w:rsidRPr="00296D03">
              <w:rPr>
                <w:rStyle w:val="CitaHTML"/>
                <w:rFonts w:cstheme="minorHAnsi"/>
                <w:sz w:val="20"/>
                <w:szCs w:val="20"/>
              </w:rPr>
              <w:t>http://www.ecuadorencifras.gob.ec/hogares/ 2016.</w:t>
            </w:r>
          </w:p>
        </w:tc>
      </w:tr>
      <w:tr w:rsidR="00296D03" w:rsidRPr="0020009C" w:rsidTr="00296D03">
        <w:trPr>
          <w:trHeight w:val="510"/>
          <w:tblCellSpacing w:w="20" w:type="dxa"/>
          <w:jc w:val="center"/>
        </w:trPr>
        <w:tc>
          <w:tcPr>
            <w:tcW w:w="1998" w:type="pct"/>
            <w:gridSpan w:val="3"/>
            <w:shd w:val="clear" w:color="auto" w:fill="C6D9F1"/>
            <w:vAlign w:val="center"/>
            <w:hideMark/>
          </w:tcPr>
          <w:p w:rsidR="00296D03" w:rsidRPr="0020009C" w:rsidRDefault="00296D03" w:rsidP="00296D03">
            <w:pPr>
              <w:rPr>
                <w:rFonts w:ascii="Calibri" w:hAnsi="Calibri" w:cs="Calibri"/>
                <w:b/>
                <w:bCs/>
                <w:lang w:val="es-EC"/>
              </w:rPr>
            </w:pPr>
            <w:r w:rsidRPr="0020009C">
              <w:rPr>
                <w:rFonts w:ascii="Calibri" w:hAnsi="Calibri" w:cs="Calibri"/>
                <w:b/>
                <w:bCs/>
                <w:lang w:val="es-EC"/>
              </w:rPr>
              <w:t>FECHA DE ELABORACIÓN DE LA FICHA METODOLÓGICA</w:t>
            </w:r>
          </w:p>
        </w:tc>
        <w:tc>
          <w:tcPr>
            <w:tcW w:w="2940" w:type="pct"/>
            <w:gridSpan w:val="2"/>
            <w:shd w:val="clear" w:color="auto" w:fill="auto"/>
            <w:vAlign w:val="center"/>
          </w:tcPr>
          <w:p w:rsidR="00296D03" w:rsidRPr="00296D03" w:rsidRDefault="00296D03" w:rsidP="00296D03">
            <w:pPr>
              <w:rPr>
                <w:color w:val="000000"/>
              </w:rPr>
            </w:pPr>
            <w:r w:rsidRPr="00296D03">
              <w:rPr>
                <w:color w:val="000000"/>
                <w:lang w:val="es-ES"/>
              </w:rPr>
              <w:t>Diciembre, 2013.</w:t>
            </w:r>
          </w:p>
        </w:tc>
      </w:tr>
      <w:tr w:rsidR="00296D03" w:rsidRPr="0020009C" w:rsidTr="00296D03">
        <w:trPr>
          <w:trHeight w:val="442"/>
          <w:tblCellSpacing w:w="20" w:type="dxa"/>
          <w:jc w:val="center"/>
        </w:trPr>
        <w:tc>
          <w:tcPr>
            <w:tcW w:w="1998" w:type="pct"/>
            <w:gridSpan w:val="3"/>
            <w:shd w:val="clear" w:color="auto" w:fill="C6D9F1"/>
            <w:vAlign w:val="center"/>
            <w:hideMark/>
          </w:tcPr>
          <w:p w:rsidR="00296D03" w:rsidRPr="0020009C" w:rsidRDefault="00296D03" w:rsidP="00296D03">
            <w:pPr>
              <w:rPr>
                <w:rFonts w:ascii="Calibri" w:hAnsi="Calibri" w:cs="Calibri"/>
                <w:b/>
                <w:bCs/>
                <w:lang w:val="es-EC"/>
              </w:rPr>
            </w:pPr>
            <w:r w:rsidRPr="0020009C">
              <w:rPr>
                <w:rFonts w:ascii="Calibri" w:hAnsi="Calibri" w:cs="Calibri"/>
                <w:b/>
                <w:bCs/>
                <w:lang w:val="es-EC"/>
              </w:rPr>
              <w:t>FECHA DE LA ÚLTIMA ACTUALIZACIÓN DE LA FICHA METODOLÓGICA</w:t>
            </w:r>
          </w:p>
        </w:tc>
        <w:tc>
          <w:tcPr>
            <w:tcW w:w="2940" w:type="pct"/>
            <w:gridSpan w:val="2"/>
            <w:shd w:val="clear" w:color="auto" w:fill="auto"/>
            <w:vAlign w:val="center"/>
          </w:tcPr>
          <w:p w:rsidR="00296D03" w:rsidRPr="00296D03" w:rsidRDefault="00296D03" w:rsidP="00296D03">
            <w:pPr>
              <w:rPr>
                <w:color w:val="000000"/>
              </w:rPr>
            </w:pPr>
            <w:r w:rsidRPr="00296D03">
              <w:rPr>
                <w:color w:val="000000"/>
                <w:lang w:val="es-ES"/>
              </w:rPr>
              <w:t>Noviembre, 2018.</w:t>
            </w:r>
          </w:p>
        </w:tc>
      </w:tr>
      <w:tr w:rsidR="00296D03" w:rsidRPr="0020009C" w:rsidTr="00296D03">
        <w:trPr>
          <w:trHeight w:val="510"/>
          <w:tblCellSpacing w:w="20" w:type="dxa"/>
          <w:jc w:val="center"/>
        </w:trPr>
        <w:tc>
          <w:tcPr>
            <w:tcW w:w="1998" w:type="pct"/>
            <w:gridSpan w:val="3"/>
            <w:shd w:val="clear" w:color="auto" w:fill="C6D9F1"/>
            <w:vAlign w:val="center"/>
          </w:tcPr>
          <w:p w:rsidR="00296D03" w:rsidRPr="0020009C" w:rsidRDefault="00296D03" w:rsidP="00296D03">
            <w:pPr>
              <w:rPr>
                <w:rFonts w:ascii="Calibri" w:hAnsi="Calibri" w:cs="Calibri"/>
                <w:b/>
                <w:bCs/>
                <w:lang w:val="es-EC"/>
              </w:rPr>
            </w:pPr>
            <w:r w:rsidRPr="0020009C">
              <w:rPr>
                <w:rFonts w:ascii="Calibri" w:hAnsi="Calibri" w:cs="Calibri"/>
                <w:b/>
                <w:bCs/>
                <w:lang w:val="es-EC"/>
              </w:rPr>
              <w:t>CLASIFICADOR TEMÁTICO ESTADÍSTICO</w:t>
            </w:r>
          </w:p>
        </w:tc>
        <w:tc>
          <w:tcPr>
            <w:tcW w:w="1445" w:type="pct"/>
            <w:shd w:val="clear" w:color="auto" w:fill="auto"/>
            <w:vAlign w:val="center"/>
          </w:tcPr>
          <w:p w:rsidR="00296D03" w:rsidRPr="0020009C" w:rsidRDefault="00296D03" w:rsidP="00296D03">
            <w:pPr>
              <w:rPr>
                <w:lang w:val="es-EC"/>
              </w:rPr>
            </w:pPr>
            <w:r>
              <w:rPr>
                <w:lang w:val="es-EC"/>
              </w:rPr>
              <w:t>3.1.</w:t>
            </w:r>
          </w:p>
        </w:tc>
        <w:tc>
          <w:tcPr>
            <w:tcW w:w="1475" w:type="pct"/>
            <w:shd w:val="clear" w:color="auto" w:fill="auto"/>
            <w:vAlign w:val="center"/>
          </w:tcPr>
          <w:p w:rsidR="00296D03" w:rsidRPr="0020009C" w:rsidRDefault="00296D03" w:rsidP="00296D03">
            <w:pPr>
              <w:rPr>
                <w:lang w:val="es-EC"/>
              </w:rPr>
            </w:pPr>
            <w:r>
              <w:rPr>
                <w:lang w:val="es-EC"/>
              </w:rPr>
              <w:t>Ambiente</w:t>
            </w:r>
          </w:p>
        </w:tc>
      </w:tr>
      <w:tr w:rsidR="00296D03" w:rsidRPr="0020009C" w:rsidTr="00296D03">
        <w:trPr>
          <w:trHeight w:val="510"/>
          <w:tblCellSpacing w:w="20" w:type="dxa"/>
          <w:jc w:val="center"/>
        </w:trPr>
        <w:tc>
          <w:tcPr>
            <w:tcW w:w="1998" w:type="pct"/>
            <w:gridSpan w:val="3"/>
            <w:shd w:val="clear" w:color="auto" w:fill="C6D9F1"/>
            <w:vAlign w:val="center"/>
          </w:tcPr>
          <w:p w:rsidR="00296D03" w:rsidRPr="0020009C" w:rsidRDefault="00296D03" w:rsidP="00296D03">
            <w:pPr>
              <w:rPr>
                <w:rFonts w:ascii="Calibri" w:hAnsi="Calibri" w:cs="Calibri"/>
                <w:b/>
                <w:bCs/>
                <w:lang w:val="es-EC"/>
              </w:rPr>
            </w:pPr>
            <w:r w:rsidRPr="0020009C">
              <w:rPr>
                <w:rFonts w:ascii="Calibri" w:hAnsi="Calibri" w:cs="Calibri"/>
                <w:b/>
                <w:bCs/>
                <w:lang w:val="es-EC"/>
              </w:rPr>
              <w:t>HOMOLOGACIÓN DEL INDICADOR</w:t>
            </w:r>
          </w:p>
        </w:tc>
        <w:tc>
          <w:tcPr>
            <w:tcW w:w="2940" w:type="pct"/>
            <w:gridSpan w:val="2"/>
            <w:shd w:val="clear" w:color="auto" w:fill="auto"/>
            <w:vAlign w:val="center"/>
          </w:tcPr>
          <w:p w:rsidR="00296D03" w:rsidRPr="004C0246" w:rsidRDefault="00296D03" w:rsidP="00296D03">
            <w:r>
              <w:t>No aplica.</w:t>
            </w:r>
          </w:p>
        </w:tc>
      </w:tr>
      <w:tr w:rsidR="00296D03" w:rsidRPr="0020009C" w:rsidTr="00296D03">
        <w:trPr>
          <w:trHeight w:val="510"/>
          <w:tblCellSpacing w:w="20" w:type="dxa"/>
          <w:jc w:val="center"/>
        </w:trPr>
        <w:tc>
          <w:tcPr>
            <w:tcW w:w="1998" w:type="pct"/>
            <w:gridSpan w:val="3"/>
            <w:shd w:val="clear" w:color="auto" w:fill="C6D9F1"/>
            <w:vAlign w:val="center"/>
          </w:tcPr>
          <w:p w:rsidR="00296D03" w:rsidRPr="0020009C" w:rsidRDefault="00296D03" w:rsidP="00296D03">
            <w:pPr>
              <w:rPr>
                <w:rFonts w:ascii="Calibri" w:hAnsi="Calibri" w:cs="Calibri"/>
                <w:b/>
                <w:bCs/>
                <w:lang w:val="es-EC"/>
              </w:rPr>
            </w:pPr>
            <w:r w:rsidRPr="0020009C">
              <w:rPr>
                <w:rFonts w:ascii="Calibri" w:hAnsi="Calibri" w:cs="Calibri"/>
                <w:b/>
                <w:bCs/>
                <w:lang w:val="es-EC"/>
              </w:rPr>
              <w:t>FECHA DE HOMOLOGACIÓN DEL INDICADOR</w:t>
            </w:r>
          </w:p>
        </w:tc>
        <w:tc>
          <w:tcPr>
            <w:tcW w:w="2940" w:type="pct"/>
            <w:gridSpan w:val="2"/>
            <w:shd w:val="clear" w:color="auto" w:fill="auto"/>
            <w:vAlign w:val="center"/>
          </w:tcPr>
          <w:p w:rsidR="00296D03" w:rsidRPr="004C0246" w:rsidRDefault="00296D03" w:rsidP="00296D03">
            <w:r>
              <w:t>No aplica.</w:t>
            </w:r>
          </w:p>
        </w:tc>
      </w:tr>
      <w:tr w:rsidR="00296D03" w:rsidRPr="0020009C" w:rsidTr="00296D03">
        <w:trPr>
          <w:trHeight w:val="404"/>
          <w:tblCellSpacing w:w="20" w:type="dxa"/>
          <w:jc w:val="center"/>
        </w:trPr>
        <w:tc>
          <w:tcPr>
            <w:tcW w:w="1998" w:type="pct"/>
            <w:gridSpan w:val="3"/>
            <w:shd w:val="clear" w:color="auto" w:fill="C6D9F1"/>
            <w:vAlign w:val="center"/>
          </w:tcPr>
          <w:p w:rsidR="00296D03" w:rsidRPr="0020009C" w:rsidRDefault="00296D03" w:rsidP="00296D03">
            <w:pPr>
              <w:rPr>
                <w:rFonts w:ascii="Calibri" w:hAnsi="Calibri" w:cs="Calibri"/>
                <w:b/>
                <w:bCs/>
                <w:lang w:val="es-EC"/>
              </w:rPr>
            </w:pPr>
            <w:r w:rsidRPr="0020009C">
              <w:rPr>
                <w:rFonts w:ascii="Calibri" w:hAnsi="Calibri" w:cs="Calibri"/>
                <w:b/>
                <w:bCs/>
                <w:lang w:val="es-EC"/>
              </w:rPr>
              <w:t>RESEÑA DEL INDICADOR</w:t>
            </w:r>
          </w:p>
        </w:tc>
        <w:tc>
          <w:tcPr>
            <w:tcW w:w="2940" w:type="pct"/>
            <w:gridSpan w:val="2"/>
            <w:shd w:val="clear" w:color="auto" w:fill="auto"/>
            <w:vAlign w:val="center"/>
          </w:tcPr>
          <w:p w:rsidR="00296D03" w:rsidRPr="004C0246" w:rsidRDefault="00296D03" w:rsidP="00296D03">
            <w:r>
              <w:t>No aplica.</w:t>
            </w:r>
          </w:p>
        </w:tc>
      </w:tr>
      <w:tr w:rsidR="00296D03" w:rsidRPr="0020009C" w:rsidTr="00296D03">
        <w:trPr>
          <w:trHeight w:val="404"/>
          <w:tblCellSpacing w:w="20" w:type="dxa"/>
          <w:jc w:val="center"/>
        </w:trPr>
        <w:tc>
          <w:tcPr>
            <w:tcW w:w="1998" w:type="pct"/>
            <w:gridSpan w:val="3"/>
            <w:shd w:val="clear" w:color="auto" w:fill="C6D9F1"/>
            <w:vAlign w:val="center"/>
          </w:tcPr>
          <w:p w:rsidR="00296D03" w:rsidRPr="0020009C" w:rsidRDefault="00296D03" w:rsidP="00296D03">
            <w:pPr>
              <w:rPr>
                <w:rFonts w:ascii="Calibri" w:hAnsi="Calibri" w:cs="Calibri"/>
                <w:b/>
                <w:bCs/>
                <w:lang w:val="es-EC"/>
              </w:rPr>
            </w:pPr>
            <w:r>
              <w:rPr>
                <w:rFonts w:ascii="Calibri" w:hAnsi="Calibri" w:cs="Calibri"/>
                <w:b/>
                <w:bCs/>
                <w:lang w:val="es-EC"/>
              </w:rPr>
              <w:t>CLASIFICADOR SECTORIAL</w:t>
            </w:r>
          </w:p>
        </w:tc>
        <w:tc>
          <w:tcPr>
            <w:tcW w:w="2940" w:type="pct"/>
            <w:gridSpan w:val="2"/>
            <w:shd w:val="clear" w:color="auto" w:fill="auto"/>
            <w:vAlign w:val="center"/>
          </w:tcPr>
          <w:p w:rsidR="00296D03" w:rsidRDefault="00296D03" w:rsidP="00296D03">
            <w:r>
              <w:t>Ambiente – 02</w:t>
            </w:r>
          </w:p>
        </w:tc>
      </w:tr>
      <w:tr w:rsidR="00296D03" w:rsidRPr="0020009C" w:rsidTr="00296D03">
        <w:trPr>
          <w:trHeight w:val="340"/>
          <w:tblCellSpacing w:w="20" w:type="dxa"/>
          <w:jc w:val="center"/>
        </w:trPr>
        <w:tc>
          <w:tcPr>
            <w:tcW w:w="1998" w:type="pct"/>
            <w:gridSpan w:val="3"/>
            <w:shd w:val="clear" w:color="auto" w:fill="C6D9F1"/>
            <w:vAlign w:val="center"/>
          </w:tcPr>
          <w:p w:rsidR="00296D03" w:rsidRPr="0020009C" w:rsidRDefault="00296D03" w:rsidP="00296D03">
            <w:pPr>
              <w:rPr>
                <w:rFonts w:ascii="Calibri" w:hAnsi="Calibri" w:cs="Calibri"/>
                <w:b/>
                <w:bCs/>
                <w:lang w:val="es-EC"/>
              </w:rPr>
            </w:pPr>
            <w:r w:rsidRPr="0020009C">
              <w:rPr>
                <w:rFonts w:ascii="Calibri" w:hAnsi="Calibri" w:cs="Calibri"/>
                <w:b/>
                <w:bCs/>
                <w:lang w:val="es-EC"/>
              </w:rPr>
              <w:t>ELABORADO POR</w:t>
            </w:r>
          </w:p>
        </w:tc>
        <w:tc>
          <w:tcPr>
            <w:tcW w:w="2940" w:type="pct"/>
            <w:gridSpan w:val="2"/>
            <w:shd w:val="clear" w:color="auto" w:fill="auto"/>
            <w:vAlign w:val="center"/>
          </w:tcPr>
          <w:p w:rsidR="00296D03" w:rsidRDefault="00296D03" w:rsidP="00296D03">
            <w:r w:rsidRPr="004C0246">
              <w:t xml:space="preserve">Ministerio del Ambiente (MAE). </w:t>
            </w:r>
          </w:p>
          <w:p w:rsidR="00296D03" w:rsidRDefault="00296D03" w:rsidP="00296D03">
            <w:r w:rsidRPr="004C0246">
              <w:t>Dirección de Información, Seguimiento y Evaluación – DISE.</w:t>
            </w:r>
          </w:p>
          <w:p w:rsidR="00296D03" w:rsidRDefault="00296D03" w:rsidP="00296D03">
            <w:r>
              <w:t>Unidad de información Estadística y Geográfica — UIEG.</w:t>
            </w:r>
          </w:p>
          <w:p w:rsidR="00296D03" w:rsidRDefault="00296D03" w:rsidP="00296D03">
            <w:r>
              <w:t xml:space="preserve">Analista: Gonzalo </w:t>
            </w:r>
            <w:proofErr w:type="spellStart"/>
            <w:r>
              <w:t>Asqui</w:t>
            </w:r>
            <w:proofErr w:type="spellEnd"/>
            <w:r>
              <w:t xml:space="preserve"> Balladares.</w:t>
            </w:r>
          </w:p>
          <w:p w:rsidR="00296D03" w:rsidRDefault="00296D03" w:rsidP="00296D03">
            <w:r>
              <w:lastRenderedPageBreak/>
              <w:t xml:space="preserve">Coordinador: </w:t>
            </w:r>
            <w:proofErr w:type="spellStart"/>
            <w:r>
              <w:t>Holger</w:t>
            </w:r>
            <w:proofErr w:type="spellEnd"/>
            <w:r>
              <w:t xml:space="preserve"> Zambrano.</w:t>
            </w:r>
          </w:p>
          <w:p w:rsidR="00296D03" w:rsidRPr="00296D03" w:rsidRDefault="00296D03" w:rsidP="00296D03">
            <w:r>
              <w:t>Directora: Norma Oña.</w:t>
            </w:r>
          </w:p>
        </w:tc>
      </w:tr>
    </w:tbl>
    <w:p w:rsidR="00E62B1C" w:rsidRPr="0020009C" w:rsidRDefault="00E62B1C" w:rsidP="00E62B1C">
      <w:pPr>
        <w:rPr>
          <w:rFonts w:ascii="Calibri" w:hAnsi="Calibri" w:cs="Calibri"/>
        </w:rPr>
      </w:pPr>
    </w:p>
    <w:p w:rsidR="00E62B1C" w:rsidRPr="0020009C" w:rsidRDefault="00E62B1C" w:rsidP="00E62B1C">
      <w:pPr>
        <w:rPr>
          <w:rFonts w:ascii="Calibri" w:hAnsi="Calibri" w:cs="Calibri"/>
        </w:rPr>
      </w:pPr>
    </w:p>
    <w:tbl>
      <w:tblPr>
        <w:tblW w:w="5562" w:type="pct"/>
        <w:tblCellSpacing w:w="20" w:type="dxa"/>
        <w:tblInd w:w="-501"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firstRow="1" w:lastRow="0" w:firstColumn="1" w:lastColumn="0" w:noHBand="0" w:noVBand="1"/>
      </w:tblPr>
      <w:tblGrid>
        <w:gridCol w:w="9394"/>
      </w:tblGrid>
      <w:tr w:rsidR="00E62B1C" w:rsidRPr="0020009C" w:rsidTr="00E62B1C">
        <w:trPr>
          <w:trHeight w:val="340"/>
          <w:tblCellSpacing w:w="20" w:type="dxa"/>
        </w:trPr>
        <w:tc>
          <w:tcPr>
            <w:tcW w:w="9843" w:type="dxa"/>
            <w:shd w:val="clear" w:color="auto" w:fill="C6D9F1"/>
            <w:vAlign w:val="center"/>
          </w:tcPr>
          <w:p w:rsidR="00E62B1C" w:rsidRPr="0020009C" w:rsidRDefault="00E62B1C" w:rsidP="0020009C">
            <w:pPr>
              <w:jc w:val="center"/>
              <w:rPr>
                <w:rFonts w:ascii="Calibri" w:hAnsi="Calibri" w:cs="Calibri"/>
                <w:b/>
                <w:color w:val="000000"/>
                <w:lang w:val="es-EC"/>
              </w:rPr>
            </w:pPr>
            <w:r w:rsidRPr="0020009C">
              <w:rPr>
                <w:rFonts w:ascii="Calibri" w:hAnsi="Calibri" w:cs="Calibri"/>
                <w:b/>
                <w:color w:val="000000"/>
                <w:lang w:val="es-EC"/>
              </w:rPr>
              <w:t>SINTAXIS DEL INDICADOR</w:t>
            </w:r>
          </w:p>
        </w:tc>
      </w:tr>
      <w:tr w:rsidR="00E62B1C" w:rsidRPr="0020009C" w:rsidTr="00E62B1C">
        <w:trPr>
          <w:trHeight w:val="340"/>
          <w:tblCellSpacing w:w="20" w:type="dxa"/>
        </w:trPr>
        <w:tc>
          <w:tcPr>
            <w:tcW w:w="9843" w:type="dxa"/>
            <w:tcBorders>
              <w:top w:val="outset" w:sz="6" w:space="0" w:color="auto"/>
              <w:bottom w:val="outset" w:sz="24" w:space="0" w:color="auto"/>
            </w:tcBorders>
            <w:shd w:val="clear" w:color="auto" w:fill="FFFFFF"/>
            <w:vAlign w:val="center"/>
          </w:tcPr>
          <w:p w:rsidR="00E62B1C" w:rsidRPr="0020009C" w:rsidRDefault="00296D03" w:rsidP="00296D03">
            <w:pPr>
              <w:rPr>
                <w:lang w:val="es-EC"/>
              </w:rPr>
            </w:pPr>
            <w:r>
              <w:rPr>
                <w:lang w:val="es-EC"/>
              </w:rPr>
              <w:t>No aplica</w:t>
            </w:r>
          </w:p>
        </w:tc>
      </w:tr>
    </w:tbl>
    <w:p w:rsidR="00E62B1C" w:rsidRPr="0020009C" w:rsidRDefault="00E62B1C" w:rsidP="00E62B1C">
      <w:pPr>
        <w:rPr>
          <w:rFonts w:ascii="Calibri" w:hAnsi="Calibri" w:cs="Calibri"/>
        </w:rPr>
      </w:pPr>
    </w:p>
    <w:p w:rsidR="00E62B1C" w:rsidRPr="0020009C" w:rsidRDefault="00E62B1C" w:rsidP="00E62B1C">
      <w:pPr>
        <w:rPr>
          <w:rFonts w:ascii="Calibri" w:hAnsi="Calibri" w:cs="Calibri"/>
        </w:rPr>
      </w:pPr>
    </w:p>
    <w:sectPr w:rsidR="00E62B1C" w:rsidRPr="0020009C" w:rsidSect="00811E51">
      <w:headerReference w:type="default" r:id="rId8"/>
      <w:footerReference w:type="default" r:id="rId9"/>
      <w:pgSz w:w="11907" w:h="16839"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555" w:rsidRDefault="00497555" w:rsidP="00272927">
      <w:r>
        <w:separator/>
      </w:r>
    </w:p>
  </w:endnote>
  <w:endnote w:type="continuationSeparator" w:id="0">
    <w:p w:rsidR="00497555" w:rsidRDefault="00497555" w:rsidP="00272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2" w:type="dxa"/>
      <w:jc w:val="center"/>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ook w:val="04A0" w:firstRow="1" w:lastRow="0" w:firstColumn="1" w:lastColumn="0" w:noHBand="0" w:noVBand="1"/>
    </w:tblPr>
    <w:tblGrid>
      <w:gridCol w:w="3260"/>
      <w:gridCol w:w="4536"/>
      <w:gridCol w:w="2126"/>
    </w:tblGrid>
    <w:tr w:rsidR="00123DE6" w:rsidRPr="00A4526D" w:rsidTr="00123DE6">
      <w:trPr>
        <w:jc w:val="center"/>
      </w:trPr>
      <w:tc>
        <w:tcPr>
          <w:tcW w:w="3260" w:type="dxa"/>
          <w:shd w:val="clear" w:color="auto" w:fill="auto"/>
          <w:vAlign w:val="center"/>
        </w:tcPr>
        <w:p w:rsidR="00123DE6" w:rsidRPr="00123DE6" w:rsidRDefault="00123DE6" w:rsidP="00123DE6">
          <w:pPr>
            <w:pStyle w:val="Piedepgina"/>
            <w:rPr>
              <w:i/>
              <w:color w:val="262626"/>
              <w:sz w:val="16"/>
              <w:szCs w:val="16"/>
            </w:rPr>
          </w:pPr>
          <w:r w:rsidRPr="00123DE6">
            <w:rPr>
              <w:i/>
              <w:color w:val="262626"/>
              <w:sz w:val="16"/>
              <w:szCs w:val="16"/>
            </w:rPr>
            <w:t>Fecha de revisión del formato: 26/08/2019</w:t>
          </w:r>
        </w:p>
        <w:p w:rsidR="00123DE6" w:rsidRPr="00123DE6" w:rsidRDefault="00123DE6" w:rsidP="00123DE6">
          <w:pPr>
            <w:pStyle w:val="Piedepgina"/>
            <w:rPr>
              <w:i/>
              <w:color w:val="262626"/>
              <w:sz w:val="16"/>
              <w:szCs w:val="16"/>
            </w:rPr>
          </w:pPr>
          <w:r w:rsidRPr="00123DE6">
            <w:rPr>
              <w:i/>
              <w:color w:val="262626"/>
              <w:sz w:val="16"/>
              <w:szCs w:val="16"/>
            </w:rPr>
            <w:t>Versión: 01</w:t>
          </w:r>
        </w:p>
      </w:tc>
      <w:tc>
        <w:tcPr>
          <w:tcW w:w="4536" w:type="dxa"/>
          <w:shd w:val="clear" w:color="auto" w:fill="auto"/>
          <w:vAlign w:val="center"/>
        </w:tcPr>
        <w:p w:rsidR="00123DE6" w:rsidRPr="00123DE6" w:rsidRDefault="00123DE6" w:rsidP="00123DE6">
          <w:pPr>
            <w:pStyle w:val="Piedepgina"/>
            <w:jc w:val="center"/>
            <w:rPr>
              <w:i/>
              <w:color w:val="262626"/>
              <w:sz w:val="16"/>
              <w:szCs w:val="16"/>
              <w:highlight w:val="yellow"/>
            </w:rPr>
          </w:pPr>
        </w:p>
      </w:tc>
      <w:tc>
        <w:tcPr>
          <w:tcW w:w="2126" w:type="dxa"/>
          <w:shd w:val="clear" w:color="auto" w:fill="auto"/>
          <w:vAlign w:val="center"/>
        </w:tcPr>
        <w:p w:rsidR="00123DE6" w:rsidRPr="00123DE6" w:rsidRDefault="00123DE6" w:rsidP="00123DE6">
          <w:pPr>
            <w:jc w:val="center"/>
            <w:rPr>
              <w:i/>
              <w:color w:val="262626"/>
              <w:sz w:val="16"/>
              <w:szCs w:val="16"/>
            </w:rPr>
          </w:pPr>
          <w:r w:rsidRPr="00123DE6">
            <w:rPr>
              <w:i/>
              <w:color w:val="262626"/>
              <w:sz w:val="16"/>
              <w:szCs w:val="16"/>
            </w:rPr>
            <w:t xml:space="preserve">Página: </w:t>
          </w:r>
          <w:r w:rsidRPr="00123DE6">
            <w:rPr>
              <w:i/>
              <w:color w:val="262626"/>
              <w:sz w:val="16"/>
              <w:szCs w:val="16"/>
            </w:rPr>
            <w:fldChar w:fldCharType="begin"/>
          </w:r>
          <w:r w:rsidRPr="00123DE6">
            <w:rPr>
              <w:i/>
              <w:color w:val="262626"/>
              <w:sz w:val="16"/>
              <w:szCs w:val="16"/>
            </w:rPr>
            <w:instrText>PAGE   \* MERGEFORMAT</w:instrText>
          </w:r>
          <w:r w:rsidRPr="00123DE6">
            <w:rPr>
              <w:i/>
              <w:color w:val="262626"/>
              <w:sz w:val="16"/>
              <w:szCs w:val="16"/>
            </w:rPr>
            <w:fldChar w:fldCharType="separate"/>
          </w:r>
          <w:r w:rsidR="00811E51">
            <w:rPr>
              <w:i/>
              <w:noProof/>
              <w:color w:val="262626"/>
              <w:sz w:val="16"/>
              <w:szCs w:val="16"/>
            </w:rPr>
            <w:t>5</w:t>
          </w:r>
          <w:r w:rsidRPr="00123DE6">
            <w:rPr>
              <w:i/>
              <w:color w:val="262626"/>
              <w:sz w:val="16"/>
              <w:szCs w:val="16"/>
            </w:rPr>
            <w:fldChar w:fldCharType="end"/>
          </w:r>
        </w:p>
      </w:tc>
    </w:tr>
  </w:tbl>
  <w:p w:rsidR="00272927" w:rsidRPr="00272927" w:rsidRDefault="00272927" w:rsidP="00272927">
    <w:pPr>
      <w:pStyle w:val="Piedepgina"/>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555" w:rsidRDefault="00497555" w:rsidP="00272927">
      <w:r>
        <w:separator/>
      </w:r>
    </w:p>
  </w:footnote>
  <w:footnote w:type="continuationSeparator" w:id="0">
    <w:p w:rsidR="00497555" w:rsidRDefault="00497555" w:rsidP="002729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jc w:val="center"/>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CellMar>
        <w:left w:w="10" w:type="dxa"/>
        <w:right w:w="10" w:type="dxa"/>
      </w:tblCellMar>
      <w:tblLook w:val="0000" w:firstRow="0" w:lastRow="0" w:firstColumn="0" w:lastColumn="0" w:noHBand="0" w:noVBand="0"/>
    </w:tblPr>
    <w:tblGrid>
      <w:gridCol w:w="2298"/>
      <w:gridCol w:w="7058"/>
    </w:tblGrid>
    <w:tr w:rsidR="00BD1443" w:rsidRPr="00F1310E" w:rsidTr="00272927">
      <w:trPr>
        <w:trHeight w:val="702"/>
        <w:jc w:val="center"/>
      </w:trPr>
      <w:tc>
        <w:tcPr>
          <w:tcW w:w="2298" w:type="dxa"/>
          <w:vMerge w:val="restart"/>
          <w:shd w:val="clear" w:color="auto" w:fill="auto"/>
          <w:tcMar>
            <w:top w:w="0" w:type="dxa"/>
            <w:left w:w="108" w:type="dxa"/>
            <w:bottom w:w="0" w:type="dxa"/>
            <w:right w:w="108" w:type="dxa"/>
          </w:tcMar>
          <w:vAlign w:val="center"/>
        </w:tcPr>
        <w:p w:rsidR="00272927" w:rsidRPr="00411A68" w:rsidRDefault="00296D03" w:rsidP="00272927">
          <w:pPr>
            <w:pStyle w:val="Encabezado"/>
            <w:jc w:val="center"/>
            <w:rPr>
              <w:sz w:val="20"/>
              <w:szCs w:val="20"/>
            </w:rPr>
          </w:pPr>
          <w:r w:rsidRPr="00272927">
            <w:rPr>
              <w:noProof/>
              <w:lang w:val="es-EC" w:eastAsia="es-EC"/>
            </w:rPr>
            <w:drawing>
              <wp:inline distT="0" distB="0" distL="0" distR="0">
                <wp:extent cx="1209675" cy="723900"/>
                <wp:effectExtent l="0" t="0" r="9525"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723900"/>
                        </a:xfrm>
                        <a:prstGeom prst="rect">
                          <a:avLst/>
                        </a:prstGeom>
                        <a:noFill/>
                        <a:ln>
                          <a:noFill/>
                        </a:ln>
                      </pic:spPr>
                    </pic:pic>
                  </a:graphicData>
                </a:graphic>
              </wp:inline>
            </w:drawing>
          </w:r>
        </w:p>
      </w:tc>
      <w:tc>
        <w:tcPr>
          <w:tcW w:w="7058" w:type="dxa"/>
          <w:shd w:val="clear" w:color="auto" w:fill="auto"/>
          <w:tcMar>
            <w:top w:w="0" w:type="dxa"/>
            <w:left w:w="108" w:type="dxa"/>
            <w:bottom w:w="0" w:type="dxa"/>
            <w:right w:w="108" w:type="dxa"/>
          </w:tcMar>
          <w:vAlign w:val="center"/>
        </w:tcPr>
        <w:p w:rsidR="00272927" w:rsidRPr="007031D2" w:rsidRDefault="00272927" w:rsidP="00272927">
          <w:pPr>
            <w:pStyle w:val="Encabezado"/>
            <w:jc w:val="center"/>
            <w:rPr>
              <w:rFonts w:ascii="Arial Black" w:hAnsi="Arial Black"/>
              <w:b/>
              <w:sz w:val="20"/>
              <w:szCs w:val="20"/>
            </w:rPr>
          </w:pPr>
          <w:r w:rsidRPr="007031D2">
            <w:rPr>
              <w:rFonts w:ascii="Arial Black" w:hAnsi="Arial Black"/>
              <w:b/>
              <w:sz w:val="20"/>
              <w:szCs w:val="20"/>
            </w:rPr>
            <w:t>MINISTERIO DEL AMBIENTE</w:t>
          </w:r>
        </w:p>
        <w:p w:rsidR="00272927" w:rsidRDefault="00272927" w:rsidP="00272927">
          <w:pPr>
            <w:pStyle w:val="Encabezado"/>
            <w:jc w:val="center"/>
            <w:rPr>
              <w:rFonts w:ascii="Arial Black" w:hAnsi="Arial Black"/>
              <w:color w:val="BFBFBF"/>
              <w:sz w:val="20"/>
              <w:szCs w:val="20"/>
            </w:rPr>
          </w:pPr>
          <w:r>
            <w:rPr>
              <w:rFonts w:ascii="Arial Black" w:hAnsi="Arial Black"/>
              <w:color w:val="BFBFBF"/>
              <w:sz w:val="20"/>
              <w:szCs w:val="20"/>
            </w:rPr>
            <w:t>Componente Estadístico</w:t>
          </w:r>
        </w:p>
        <w:p w:rsidR="00272927" w:rsidRPr="00F1310E" w:rsidRDefault="00272927" w:rsidP="00272927">
          <w:pPr>
            <w:pStyle w:val="Encabezado"/>
            <w:jc w:val="center"/>
            <w:rPr>
              <w:color w:val="A6A6A6"/>
              <w:sz w:val="20"/>
              <w:szCs w:val="20"/>
            </w:rPr>
          </w:pPr>
          <w:r w:rsidRPr="00272927">
            <w:rPr>
              <w:rFonts w:ascii="Arial Black" w:hAnsi="Arial Black"/>
              <w:color w:val="BFBFBF"/>
              <w:sz w:val="20"/>
              <w:szCs w:val="20"/>
            </w:rPr>
            <w:t xml:space="preserve">Sistema </w:t>
          </w:r>
          <w:r>
            <w:rPr>
              <w:rFonts w:ascii="Arial Black" w:hAnsi="Arial Black"/>
              <w:color w:val="BFBFBF"/>
              <w:sz w:val="20"/>
              <w:szCs w:val="20"/>
            </w:rPr>
            <w:t>Único de Información Ambiental - SUIA</w:t>
          </w:r>
        </w:p>
      </w:tc>
    </w:tr>
    <w:tr w:rsidR="00BD1443" w:rsidRPr="00F1310E" w:rsidTr="00272927">
      <w:trPr>
        <w:trHeight w:val="552"/>
        <w:jc w:val="center"/>
      </w:trPr>
      <w:tc>
        <w:tcPr>
          <w:tcW w:w="2298" w:type="dxa"/>
          <w:vMerge/>
          <w:shd w:val="clear" w:color="auto" w:fill="auto"/>
          <w:tcMar>
            <w:top w:w="0" w:type="dxa"/>
            <w:left w:w="108" w:type="dxa"/>
            <w:bottom w:w="0" w:type="dxa"/>
            <w:right w:w="108" w:type="dxa"/>
          </w:tcMar>
          <w:vAlign w:val="center"/>
        </w:tcPr>
        <w:p w:rsidR="00272927" w:rsidRPr="00F1310E" w:rsidRDefault="00272927" w:rsidP="00272927">
          <w:pPr>
            <w:pStyle w:val="Encabezado"/>
            <w:jc w:val="center"/>
            <w:rPr>
              <w:noProof/>
              <w:sz w:val="20"/>
              <w:szCs w:val="20"/>
              <w:lang w:eastAsia="es-EC"/>
            </w:rPr>
          </w:pPr>
        </w:p>
      </w:tc>
      <w:tc>
        <w:tcPr>
          <w:tcW w:w="7058" w:type="dxa"/>
          <w:shd w:val="clear" w:color="auto" w:fill="auto"/>
          <w:tcMar>
            <w:top w:w="0" w:type="dxa"/>
            <w:left w:w="108" w:type="dxa"/>
            <w:bottom w:w="0" w:type="dxa"/>
            <w:right w:w="108" w:type="dxa"/>
          </w:tcMar>
          <w:vAlign w:val="center"/>
        </w:tcPr>
        <w:p w:rsidR="00272927" w:rsidRPr="00F1310E" w:rsidRDefault="00272927" w:rsidP="00272927">
          <w:pPr>
            <w:pStyle w:val="Encabezado"/>
            <w:jc w:val="center"/>
            <w:rPr>
              <w:b/>
              <w:sz w:val="20"/>
              <w:szCs w:val="20"/>
            </w:rPr>
          </w:pPr>
          <w:r>
            <w:rPr>
              <w:b/>
              <w:sz w:val="20"/>
              <w:szCs w:val="20"/>
            </w:rPr>
            <w:t>FICHA METODOLÓGICA</w:t>
          </w:r>
        </w:p>
      </w:tc>
    </w:tr>
  </w:tbl>
  <w:p w:rsidR="00272927" w:rsidRPr="00272927" w:rsidRDefault="00272927">
    <w:pPr>
      <w:pStyle w:val="Encabezad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6832CC"/>
    <w:multiLevelType w:val="hybridMultilevel"/>
    <w:tmpl w:val="A4168582"/>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
    <w:nsid w:val="739903ED"/>
    <w:multiLevelType w:val="hybridMultilevel"/>
    <w:tmpl w:val="933CF03E"/>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080" w:hanging="360"/>
      </w:pPr>
      <w:rPr>
        <w:rFonts w:ascii="Courier New" w:hAnsi="Courier New" w:cs="Courier New" w:hint="default"/>
      </w:rPr>
    </w:lvl>
    <w:lvl w:ilvl="2" w:tplc="300A0005">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68C"/>
    <w:rsid w:val="000750D1"/>
    <w:rsid w:val="00123DE6"/>
    <w:rsid w:val="0020009C"/>
    <w:rsid w:val="002420B7"/>
    <w:rsid w:val="00272927"/>
    <w:rsid w:val="00296D03"/>
    <w:rsid w:val="00497555"/>
    <w:rsid w:val="004A168C"/>
    <w:rsid w:val="00570B1E"/>
    <w:rsid w:val="00811E51"/>
    <w:rsid w:val="00A00CBC"/>
    <w:rsid w:val="00AB5369"/>
    <w:rsid w:val="00B30908"/>
    <w:rsid w:val="00BD1443"/>
    <w:rsid w:val="00E62B1C"/>
    <w:rsid w:val="00FA37F6"/>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BBE4EAA-AA4D-42AF-B4AC-931F2A19A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C" w:eastAsia="es-EC"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D03"/>
    <w:rPr>
      <w:rFonts w:asciiTheme="minorHAnsi" w:eastAsia="Times New Roman" w:hAnsiTheme="minorHAnsi" w:cs="Arial"/>
      <w:sz w:val="22"/>
      <w:szCs w:val="22"/>
      <w:lang w:val="es-ES_tradnl" w:eastAsia="es-ES"/>
    </w:rPr>
  </w:style>
  <w:style w:type="paragraph" w:styleId="Ttulo1">
    <w:name w:val="heading 1"/>
    <w:basedOn w:val="Normal"/>
    <w:next w:val="Normal"/>
    <w:link w:val="Ttulo1Car"/>
    <w:qFormat/>
    <w:rsid w:val="00E62B1C"/>
    <w:pPr>
      <w:keepNext/>
      <w:keepLines/>
      <w:spacing w:before="240" w:after="120" w:line="276" w:lineRule="auto"/>
      <w:jc w:val="center"/>
      <w:outlineLvl w:val="0"/>
    </w:pPr>
    <w:rPr>
      <w:rFonts w:ascii="Calibri Light" w:hAnsi="Calibri Light" w:cs="Times New Roman"/>
      <w:b/>
      <w:sz w:val="32"/>
      <w:szCs w:val="3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72927"/>
    <w:pPr>
      <w:tabs>
        <w:tab w:val="center" w:pos="4419"/>
        <w:tab w:val="right" w:pos="8838"/>
      </w:tabs>
    </w:pPr>
  </w:style>
  <w:style w:type="character" w:customStyle="1" w:styleId="EncabezadoCar">
    <w:name w:val="Encabezado Car"/>
    <w:link w:val="Encabezado"/>
    <w:uiPriority w:val="99"/>
    <w:rsid w:val="00272927"/>
    <w:rPr>
      <w:rFonts w:ascii="Arial" w:eastAsia="Times New Roman" w:hAnsi="Arial" w:cs="Arial"/>
      <w:sz w:val="24"/>
      <w:szCs w:val="22"/>
      <w:lang w:val="es-ES_tradnl" w:eastAsia="es-ES"/>
    </w:rPr>
  </w:style>
  <w:style w:type="paragraph" w:styleId="Piedepgina">
    <w:name w:val="footer"/>
    <w:basedOn w:val="Normal"/>
    <w:link w:val="PiedepginaCar"/>
    <w:uiPriority w:val="99"/>
    <w:unhideWhenUsed/>
    <w:rsid w:val="00272927"/>
    <w:pPr>
      <w:tabs>
        <w:tab w:val="center" w:pos="4419"/>
        <w:tab w:val="right" w:pos="8838"/>
      </w:tabs>
    </w:pPr>
  </w:style>
  <w:style w:type="character" w:customStyle="1" w:styleId="PiedepginaCar">
    <w:name w:val="Pie de página Car"/>
    <w:link w:val="Piedepgina"/>
    <w:uiPriority w:val="99"/>
    <w:rsid w:val="00272927"/>
    <w:rPr>
      <w:rFonts w:ascii="Arial" w:eastAsia="Times New Roman" w:hAnsi="Arial" w:cs="Arial"/>
      <w:sz w:val="24"/>
      <w:szCs w:val="22"/>
      <w:lang w:val="es-ES_tradnl" w:eastAsia="es-ES"/>
    </w:rPr>
  </w:style>
  <w:style w:type="character" w:customStyle="1" w:styleId="Ttulo1Car">
    <w:name w:val="Título 1 Car"/>
    <w:link w:val="Ttulo1"/>
    <w:rsid w:val="00E62B1C"/>
    <w:rPr>
      <w:rFonts w:ascii="Calibri Light" w:eastAsia="Times New Roman" w:hAnsi="Calibri Light"/>
      <w:b/>
      <w:sz w:val="32"/>
      <w:szCs w:val="32"/>
      <w:lang w:val="es-ES" w:eastAsia="es-ES"/>
    </w:rPr>
  </w:style>
  <w:style w:type="table" w:styleId="Tablaconcuadrcula">
    <w:name w:val="Table Grid"/>
    <w:basedOn w:val="Tablanormal"/>
    <w:uiPriority w:val="59"/>
    <w:rsid w:val="00B30908"/>
    <w:rPr>
      <w:sz w:val="22"/>
      <w:szCs w:val="22"/>
      <w:lang w:val="es-E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B30908"/>
    <w:pPr>
      <w:ind w:left="720"/>
      <w:contextualSpacing/>
    </w:pPr>
    <w:rPr>
      <w:rFonts w:ascii="Times New Roman" w:eastAsia="Batang" w:hAnsi="Times New Roman" w:cs="Times New Roman"/>
      <w:szCs w:val="24"/>
      <w:lang w:val="es-ES" w:eastAsia="ko-KR"/>
    </w:rPr>
  </w:style>
  <w:style w:type="character" w:styleId="CitaHTML">
    <w:name w:val="HTML Cite"/>
    <w:uiPriority w:val="99"/>
    <w:semiHidden/>
    <w:unhideWhenUsed/>
    <w:rsid w:val="00296D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BB119-F1A1-45A0-A6A1-9A2CB8042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1247</Words>
  <Characters>6860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Alberto Bermeo Palma</dc:creator>
  <cp:keywords/>
  <cp:lastModifiedBy>maria alejandra moscoso estrella</cp:lastModifiedBy>
  <cp:revision>4</cp:revision>
  <dcterms:created xsi:type="dcterms:W3CDTF">2019-08-29T14:30:00Z</dcterms:created>
  <dcterms:modified xsi:type="dcterms:W3CDTF">2019-08-29T14:31:00Z</dcterms:modified>
</cp:coreProperties>
</file>